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hint="eastAsia"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4"/>
        <w:tblW w:w="12894" w:type="dxa"/>
        <w:tblInd w:w="0" w:type="dxa"/>
        <w:tblLayout w:type="fixed"/>
        <w:tblCellMar>
          <w:top w:w="0" w:type="dxa"/>
          <w:left w:w="0" w:type="dxa"/>
          <w:bottom w:w="0" w:type="dxa"/>
          <w:right w:w="0" w:type="dxa"/>
        </w:tblCellMar>
      </w:tblPr>
      <w:tblGrid>
        <w:gridCol w:w="745"/>
        <w:gridCol w:w="1168"/>
        <w:gridCol w:w="1119"/>
        <w:gridCol w:w="511"/>
        <w:gridCol w:w="652"/>
        <w:gridCol w:w="431"/>
        <w:gridCol w:w="1209"/>
        <w:gridCol w:w="681"/>
        <w:gridCol w:w="589"/>
        <w:gridCol w:w="695"/>
        <w:gridCol w:w="1403"/>
        <w:gridCol w:w="1581"/>
        <w:gridCol w:w="1122"/>
        <w:gridCol w:w="988"/>
      </w:tblGrid>
      <w:tr>
        <w:tblPrEx>
          <w:tblLayout w:type="fixed"/>
          <w:tblCellMar>
            <w:top w:w="0" w:type="dxa"/>
            <w:left w:w="0" w:type="dxa"/>
            <w:bottom w:w="0" w:type="dxa"/>
            <w:right w:w="0" w:type="dxa"/>
          </w:tblCellMar>
        </w:tblPrEx>
        <w:trPr>
          <w:trHeight w:val="312" w:hRule="atLeast"/>
        </w:trPr>
        <w:tc>
          <w:tcPr>
            <w:tcW w:w="30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部门（单位）名称</w:t>
            </w:r>
          </w:p>
        </w:tc>
        <w:tc>
          <w:tcPr>
            <w:tcW w:w="9862"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香河县发展和改革局</w:t>
            </w:r>
          </w:p>
        </w:tc>
      </w:tr>
      <w:tr>
        <w:tblPrEx>
          <w:tblLayout w:type="fixed"/>
          <w:tblCellMar>
            <w:top w:w="0" w:type="dxa"/>
            <w:left w:w="0" w:type="dxa"/>
            <w:bottom w:w="0" w:type="dxa"/>
            <w:right w:w="0" w:type="dxa"/>
          </w:tblCellMar>
        </w:tblPrEx>
        <w:trPr>
          <w:trHeight w:val="300" w:hRule="atLeast"/>
        </w:trPr>
        <w:tc>
          <w:tcPr>
            <w:tcW w:w="30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联系人</w:t>
            </w:r>
          </w:p>
        </w:tc>
        <w:tc>
          <w:tcPr>
            <w:tcW w:w="3484"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王玉香</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8676266</w:t>
            </w:r>
          </w:p>
        </w:tc>
      </w:tr>
      <w:tr>
        <w:tblPrEx>
          <w:tblLayout w:type="fixed"/>
          <w:tblCellMar>
            <w:top w:w="0" w:type="dxa"/>
            <w:left w:w="0" w:type="dxa"/>
            <w:bottom w:w="0" w:type="dxa"/>
            <w:right w:w="0" w:type="dxa"/>
          </w:tblCellMar>
        </w:tblPrEx>
        <w:trPr>
          <w:trHeight w:val="300" w:hRule="atLeast"/>
        </w:trPr>
        <w:tc>
          <w:tcPr>
            <w:tcW w:w="30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评价时段</w:t>
            </w:r>
          </w:p>
        </w:tc>
        <w:tc>
          <w:tcPr>
            <w:tcW w:w="9862"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18"/>
                <w:rFonts w:eastAsia="仿宋_GB2312"/>
                <w:lang w:eastAsia="zh-CN"/>
              </w:rPr>
              <w:t xml:space="preserve">  2019</w:t>
            </w:r>
            <w:r>
              <w:rPr>
                <w:rStyle w:val="17"/>
                <w:rFonts w:ascii="Times New Roman"/>
                <w:lang w:eastAsia="zh-CN"/>
              </w:rPr>
              <w:t>年</w:t>
            </w:r>
            <w:r>
              <w:rPr>
                <w:rStyle w:val="18"/>
                <w:rFonts w:eastAsia="仿宋_GB2312"/>
                <w:lang w:eastAsia="zh-CN"/>
              </w:rPr>
              <w:t xml:space="preserve"> 1 </w:t>
            </w:r>
            <w:r>
              <w:rPr>
                <w:rStyle w:val="17"/>
                <w:rFonts w:ascii="Times New Roman"/>
                <w:lang w:eastAsia="zh-CN"/>
              </w:rPr>
              <w:t>月</w:t>
            </w:r>
            <w:r>
              <w:rPr>
                <w:rStyle w:val="18"/>
                <w:rFonts w:eastAsia="仿宋_GB2312"/>
                <w:lang w:eastAsia="zh-CN"/>
              </w:rPr>
              <w:t xml:space="preserve">  1 </w:t>
            </w:r>
            <w:r>
              <w:rPr>
                <w:rStyle w:val="17"/>
                <w:rFonts w:ascii="Times New Roman"/>
                <w:lang w:eastAsia="zh-CN"/>
              </w:rPr>
              <w:t>日</w:t>
            </w:r>
            <w:r>
              <w:rPr>
                <w:rStyle w:val="18"/>
                <w:rFonts w:eastAsia="仿宋_GB2312"/>
                <w:lang w:eastAsia="zh-CN"/>
              </w:rPr>
              <w:t xml:space="preserve"> </w:t>
            </w:r>
            <w:r>
              <w:rPr>
                <w:rStyle w:val="17"/>
                <w:rFonts w:ascii="Times New Roman"/>
                <w:lang w:eastAsia="zh-CN"/>
              </w:rPr>
              <w:t>至</w:t>
            </w:r>
            <w:r>
              <w:rPr>
                <w:rStyle w:val="18"/>
                <w:rFonts w:eastAsia="仿宋_GB2312"/>
                <w:lang w:eastAsia="zh-CN"/>
              </w:rPr>
              <w:t xml:space="preserve">  2019</w:t>
            </w:r>
            <w:r>
              <w:rPr>
                <w:rStyle w:val="17"/>
                <w:rFonts w:ascii="Times New Roman"/>
                <w:lang w:eastAsia="zh-CN"/>
              </w:rPr>
              <w:t>年</w:t>
            </w:r>
            <w:r>
              <w:rPr>
                <w:rStyle w:val="18"/>
                <w:rFonts w:eastAsia="仿宋_GB2312"/>
                <w:lang w:eastAsia="zh-CN"/>
              </w:rPr>
              <w:t xml:space="preserve"> 12 </w:t>
            </w:r>
            <w:r>
              <w:rPr>
                <w:rStyle w:val="17"/>
                <w:rFonts w:ascii="Times New Roman"/>
                <w:lang w:eastAsia="zh-CN"/>
              </w:rPr>
              <w:t>月</w:t>
            </w:r>
            <w:r>
              <w:rPr>
                <w:rStyle w:val="18"/>
                <w:rFonts w:eastAsia="仿宋_GB2312"/>
                <w:lang w:eastAsia="zh-CN"/>
              </w:rPr>
              <w:t xml:space="preserve"> 31 </w:t>
            </w:r>
            <w:r>
              <w:rPr>
                <w:rStyle w:val="17"/>
                <w:rFonts w:ascii="Times New Roman"/>
                <w:lang w:eastAsia="zh-CN"/>
              </w:rPr>
              <w:t>日</w:t>
            </w:r>
          </w:p>
        </w:tc>
      </w:tr>
      <w:tr>
        <w:tblPrEx>
          <w:tblLayout w:type="fixed"/>
          <w:tblCellMar>
            <w:top w:w="0" w:type="dxa"/>
            <w:left w:w="0" w:type="dxa"/>
            <w:bottom w:w="0" w:type="dxa"/>
            <w:right w:w="0" w:type="dxa"/>
          </w:tblCellMar>
        </w:tblPrEx>
        <w:trPr>
          <w:trHeight w:val="300" w:hRule="atLeast"/>
        </w:trPr>
        <w:tc>
          <w:tcPr>
            <w:tcW w:w="191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7"/>
                <w:rFonts w:ascii="Times New Roman"/>
                <w:lang w:eastAsia="zh-CN"/>
              </w:rPr>
              <w:t>年度部门（单位）预算执行情况</w:t>
            </w:r>
          </w:p>
        </w:tc>
        <w:tc>
          <w:tcPr>
            <w:tcW w:w="460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预算支出（万元）</w:t>
            </w: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年初预算数</w:t>
            </w:r>
            <w:r>
              <w:rPr>
                <w:rFonts w:eastAsia="仿宋_GB2312"/>
                <w:color w:val="000000"/>
                <w:sz w:val="18"/>
                <w:szCs w:val="18"/>
                <w:lang w:eastAsia="zh-CN"/>
              </w:rPr>
              <w:t xml:space="preserve"> </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调整预算数</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决算数</w:t>
            </w:r>
            <w:r>
              <w:rPr>
                <w:rFonts w:eastAsia="仿宋_GB2312"/>
                <w:color w:val="000000"/>
                <w:sz w:val="18"/>
                <w:szCs w:val="18"/>
                <w:lang w:eastAsia="zh-CN"/>
              </w:rPr>
              <w:t xml:space="preserve"> </w:t>
            </w: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31015</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5639</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5639</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2091</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1987</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1994</w:t>
            </w: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263</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499</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471</w:t>
            </w: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28660</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7709</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7709</w:t>
            </w: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34</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34</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292" w:hRule="atLeast"/>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31015</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5673</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5673</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31014</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10195</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10174</w:t>
            </w:r>
          </w:p>
        </w:tc>
      </w:tr>
      <w:tr>
        <w:tblPrEx>
          <w:tblLayout w:type="fixed"/>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年度主要任务</w:t>
            </w: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重点工作任务名称</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7"/>
                <w:rFonts w:ascii="Times New Roman"/>
                <w:lang w:eastAsia="zh-CN"/>
              </w:rPr>
              <w:t>重点工作任务完成情况</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7"/>
                <w:rFonts w:ascii="Times New Roman"/>
                <w:lang w:eastAsia="zh-CN"/>
              </w:rPr>
              <w:t>拟对应安排的重点项目</w:t>
            </w:r>
            <w:r>
              <w:rPr>
                <w:rStyle w:val="18"/>
                <w:rFonts w:eastAsia="仿宋_GB2312"/>
                <w:lang w:eastAsia="zh-CN"/>
              </w:rPr>
              <w:t xml:space="preserve">  </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项目完成情况</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预算数</w:t>
            </w:r>
          </w:p>
          <w:p>
            <w:pPr>
              <w:jc w:val="center"/>
              <w:textAlignment w:val="center"/>
              <w:rPr>
                <w:rFonts w:eastAsia="仿宋_GB2312"/>
                <w:color w:val="000000"/>
                <w:sz w:val="18"/>
                <w:szCs w:val="18"/>
              </w:rPr>
            </w:pPr>
            <w:r>
              <w:rPr>
                <w:rStyle w:val="17"/>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7"/>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执行数</w:t>
            </w:r>
          </w:p>
          <w:p>
            <w:pPr>
              <w:jc w:val="center"/>
              <w:textAlignment w:val="center"/>
              <w:rPr>
                <w:rFonts w:eastAsia="仿宋_GB2312"/>
                <w:color w:val="000000"/>
                <w:sz w:val="18"/>
                <w:szCs w:val="18"/>
              </w:rPr>
            </w:pPr>
            <w:r>
              <w:rPr>
                <w:rStyle w:val="17"/>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其中：财政拨款</w:t>
            </w:r>
          </w:p>
        </w:tc>
      </w:tr>
      <w:tr>
        <w:tblPrEx>
          <w:tblLayout w:type="fixed"/>
          <w:tblCellMar>
            <w:top w:w="0" w:type="dxa"/>
            <w:left w:w="0" w:type="dxa"/>
            <w:bottom w:w="0" w:type="dxa"/>
            <w:right w:w="0" w:type="dxa"/>
          </w:tblCellMar>
        </w:tblPrEx>
        <w:trPr>
          <w:trHeight w:val="90"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rPr>
              <w:t>组织进行项目签约活动</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eastAsia="zh-CN"/>
              </w:rPr>
              <w:t>通过签约，引进资金，带动区域经济发展</w:t>
            </w:r>
          </w:p>
        </w:tc>
        <w:tc>
          <w:tcPr>
            <w:tcW w:w="1163"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lang w:eastAsia="zh-CN"/>
              </w:rPr>
              <w:t>“5·18”省经贸洽谈会经费</w:t>
            </w:r>
          </w:p>
        </w:tc>
        <w:tc>
          <w:tcPr>
            <w:tcW w:w="2910" w:type="dxa"/>
            <w:gridSpan w:val="4"/>
            <w:tcBorders>
              <w:top w:val="single" w:color="000000" w:sz="4" w:space="0"/>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color w:val="000000"/>
                <w:sz w:val="18"/>
                <w:szCs w:val="18"/>
                <w:lang w:eastAsia="zh-CN"/>
              </w:rPr>
            </w:pPr>
            <w:r>
              <w:rPr>
                <w:rFonts w:hint="eastAsia" w:ascii="仿宋" w:hAnsi="仿宋" w:eastAsia="仿宋" w:cs="仿宋"/>
                <w:color w:val="000000"/>
                <w:kern w:val="0"/>
                <w:sz w:val="18"/>
                <w:szCs w:val="18"/>
              </w:rPr>
              <w:t>实现上会签约项目</w:t>
            </w:r>
            <w:r>
              <w:rPr>
                <w:rFonts w:hint="eastAsia" w:ascii="仿宋" w:hAnsi="仿宋" w:eastAsia="仿宋" w:cs="仿宋"/>
                <w:color w:val="000000"/>
                <w:kern w:val="0"/>
                <w:sz w:val="18"/>
                <w:szCs w:val="18"/>
                <w:lang w:val="en-US" w:eastAsia="zh-CN"/>
              </w:rPr>
              <w:t>6</w:t>
            </w:r>
            <w:r>
              <w:rPr>
                <w:rFonts w:hint="eastAsia" w:ascii="仿宋" w:hAnsi="仿宋" w:eastAsia="仿宋" w:cs="仿宋"/>
                <w:color w:val="000000"/>
                <w:kern w:val="0"/>
                <w:sz w:val="18"/>
                <w:szCs w:val="18"/>
              </w:rPr>
              <w:t>个，发布对外招商项目20个</w:t>
            </w:r>
          </w:p>
        </w:tc>
        <w:tc>
          <w:tcPr>
            <w:tcW w:w="695"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403"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581"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r>
      <w:tr>
        <w:tblPrEx>
          <w:tblLayout w:type="fixed"/>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hint="eastAsia" w:ascii="仿宋" w:hAnsi="仿宋" w:eastAsia="仿宋" w:cs="仿宋"/>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eastAsia="zh-CN"/>
              </w:rPr>
              <w:t>通过洽谈会召开促动全县项目建设</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eastAsia="zh-CN"/>
              </w:rPr>
              <w:t>“9·26”农交会经费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color w:val="000000"/>
                <w:sz w:val="18"/>
                <w:szCs w:val="18"/>
              </w:rPr>
            </w:pPr>
            <w:r>
              <w:rPr>
                <w:rFonts w:hint="eastAsia" w:ascii="仿宋" w:hAnsi="仿宋" w:eastAsia="仿宋" w:cs="仿宋"/>
                <w:sz w:val="18"/>
                <w:szCs w:val="18"/>
                <w:lang w:val="en-US" w:eastAsia="zh-CN"/>
              </w:rPr>
              <w:t>实现上会签约项目2个，参加河北省品牌农产品产销对接活动企业1个</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合理审核确定定价成本</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eastAsia="zh-CN"/>
              </w:rPr>
              <w:t>提高政府价格决策科学性</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rPr>
              <w:t>城市公共汽车运行、城市客运出租车运价及污水处理费成本监审</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color w:val="000000"/>
                <w:sz w:val="18"/>
                <w:szCs w:val="18"/>
              </w:rPr>
            </w:pPr>
            <w:r>
              <w:rPr>
                <w:rFonts w:hint="eastAsia" w:ascii="仿宋" w:hAnsi="仿宋" w:eastAsia="仿宋" w:cs="仿宋"/>
                <w:sz w:val="18"/>
                <w:szCs w:val="18"/>
                <w:lang w:val="en-US" w:eastAsia="zh-CN"/>
              </w:rPr>
              <w:t>成本监审工作规范化、程序化，确保成本监审工作依法有序地开展，为经济社会发展和政府制定或调整价格提供了成本数据支撑</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组织开展全县电代煤安全检查</w:t>
            </w:r>
            <w:r>
              <w:rPr>
                <w:rFonts w:hint="eastAsia" w:ascii="仿宋" w:hAnsi="仿宋" w:eastAsia="仿宋" w:cs="仿宋"/>
                <w:color w:val="000000"/>
                <w:kern w:val="0"/>
                <w:sz w:val="18"/>
                <w:szCs w:val="18"/>
                <w:lang w:eastAsia="zh-CN"/>
              </w:rPr>
              <w:t>；</w:t>
            </w:r>
            <w:r>
              <w:rPr>
                <w:rFonts w:hint="eastAsia" w:ascii="仿宋" w:hAnsi="仿宋" w:eastAsia="仿宋" w:cs="仿宋"/>
                <w:color w:val="000000"/>
                <w:kern w:val="0"/>
                <w:sz w:val="18"/>
                <w:szCs w:val="18"/>
                <w:lang w:val="en-US" w:eastAsia="zh-CN"/>
              </w:rPr>
              <w:t>开展调研保障工作</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rPr>
              <w:t>保障电代煤工程顺利运行，确保协同发展工作顺利进行</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rPr>
            </w:pPr>
            <w:r>
              <w:rPr>
                <w:rFonts w:hint="eastAsia" w:ascii="仿宋" w:hAnsi="仿宋" w:eastAsia="仿宋" w:cs="仿宋"/>
                <w:sz w:val="18"/>
                <w:szCs w:val="18"/>
              </w:rPr>
              <w:t>电代煤办公室、供气调峰应急领导小组办公室、京津冀协同发展办公室工作经费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color w:val="000000"/>
                <w:sz w:val="18"/>
                <w:szCs w:val="18"/>
              </w:rPr>
            </w:pPr>
            <w:r>
              <w:rPr>
                <w:rFonts w:hint="eastAsia" w:ascii="仿宋" w:hAnsi="仿宋" w:eastAsia="仿宋" w:cs="仿宋"/>
                <w:sz w:val="18"/>
                <w:szCs w:val="18"/>
                <w:lang w:eastAsia="zh-CN"/>
              </w:rPr>
              <w:t>维持了电代煤办公室、供气调峰应急领导小组办公室日常运行，统筹推进了全县农村地区电代煤工程；维持了协同发展办公室日常运行，统筹推进全县协同发展工作</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9</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9</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9</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确保电代煤工程顺利运行目标的达成</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rPr>
              <w:t>电代煤运行补贴</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color w:val="000000"/>
                <w:sz w:val="18"/>
                <w:szCs w:val="18"/>
              </w:rPr>
            </w:pPr>
            <w:r>
              <w:rPr>
                <w:rFonts w:hint="eastAsia" w:ascii="仿宋" w:hAnsi="仿宋" w:eastAsia="仿宋" w:cs="仿宋"/>
                <w:sz w:val="18"/>
                <w:szCs w:val="18"/>
                <w:lang w:val="en-US" w:eastAsia="zh-CN"/>
              </w:rPr>
              <w:t>2019年11月13日已将电代煤用户用电补贴及配套生活用气补贴拨付到乡镇，保障群众温暖过冬</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2274.575079</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2274.575079</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2274.575079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2274.575079</w:t>
            </w:r>
          </w:p>
        </w:tc>
      </w:tr>
      <w:tr>
        <w:tblPrEx>
          <w:tblLayout w:type="fixed"/>
          <w:tblCellMar>
            <w:top w:w="0" w:type="dxa"/>
            <w:left w:w="0" w:type="dxa"/>
            <w:bottom w:w="0" w:type="dxa"/>
            <w:right w:w="0" w:type="dxa"/>
          </w:tblCellMar>
        </w:tblPrEx>
        <w:trPr>
          <w:trHeight w:val="701"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通过对标的物价格进行市场调研、专家咨询，出具价格认定结论书</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协助司法、行政机关办理相关案件，保障价格认定工作的正常开展</w:t>
            </w:r>
          </w:p>
        </w:tc>
        <w:tc>
          <w:tcPr>
            <w:tcW w:w="116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价格鉴证经费</w:t>
            </w:r>
          </w:p>
        </w:tc>
        <w:tc>
          <w:tcPr>
            <w:tcW w:w="2910" w:type="dxa"/>
            <w:gridSpan w:val="4"/>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接受司法机关、行政机关提出的价格认定事项，遵循依法、公正、科学、效率的原则，作出准确、可靠的价格认定结论，为司法机关办理相关案件、为行政工作提供依据，保障司法、行政工作顺利进行</w:t>
            </w:r>
          </w:p>
        </w:tc>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w:t>
            </w:r>
          </w:p>
        </w:tc>
        <w:tc>
          <w:tcPr>
            <w:tcW w:w="140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w:t>
            </w:r>
          </w:p>
        </w:tc>
        <w:tc>
          <w:tcPr>
            <w:tcW w:w="211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w:t>
            </w:r>
          </w:p>
        </w:tc>
      </w:tr>
      <w:tr>
        <w:tblPrEx>
          <w:tblLayout w:type="fixed"/>
          <w:tblCellMar>
            <w:top w:w="0" w:type="dxa"/>
            <w:left w:w="0" w:type="dxa"/>
            <w:bottom w:w="0" w:type="dxa"/>
            <w:right w:w="0" w:type="dxa"/>
          </w:tblCellMar>
        </w:tblPrEx>
        <w:trPr>
          <w:trHeight w:val="1378" w:hRule="atLeast"/>
        </w:trPr>
        <w:tc>
          <w:tcPr>
            <w:tcW w:w="745" w:type="dxa"/>
            <w:vMerge w:val="continue"/>
            <w:tcBorders>
              <w:left w:val="single" w:color="auto" w:sz="4" w:space="0"/>
              <w:bottom w:val="single" w:color="000000" w:sz="4" w:space="0"/>
              <w:right w:val="single" w:color="000000" w:sz="4" w:space="0"/>
            </w:tcBorders>
            <w:tcMar>
              <w:top w:w="12" w:type="dxa"/>
              <w:left w:w="12" w:type="dxa"/>
              <w:right w:w="12" w:type="dxa"/>
            </w:tcMar>
            <w:vAlign w:val="center"/>
          </w:tc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tc>
        <w:tc>
          <w:tcPr>
            <w:tcW w:w="1119"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协助司法、行政机关办理相关案件，保障价格认定工作的正常开展</w:t>
            </w:r>
          </w:p>
        </w:tc>
        <w:tc>
          <w:tcPr>
            <w:tcW w:w="1163" w:type="dxa"/>
            <w:gridSpan w:val="2"/>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认证中心评估经费</w:t>
            </w:r>
          </w:p>
        </w:tc>
        <w:tc>
          <w:tcPr>
            <w:tcW w:w="2910" w:type="dxa"/>
            <w:gridSpan w:val="4"/>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接受司法机关、行政机关提出的价格认定事项，遵循依法、公正、科学、效率的原则，作出准确、可靠的价格认定结论，为司法机关办理相关案件、为行政工作提供依据，保障司法、行政工作顺利进行</w:t>
            </w:r>
          </w:p>
        </w:tc>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r>
      <w:tr>
        <w:tblPrEx>
          <w:tblLayout w:type="fixed"/>
          <w:tblCellMar>
            <w:top w:w="0" w:type="dxa"/>
            <w:left w:w="0" w:type="dxa"/>
            <w:bottom w:w="0" w:type="dxa"/>
            <w:right w:w="0" w:type="dxa"/>
          </w:tblCellMar>
        </w:tblPrEx>
        <w:trPr>
          <w:trHeight w:val="762"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确保项目顺利进行，完工后，可以保证原粮的安全</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保证原粮的安全储备</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储备粮食流通基础设施建设</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已完成2栋仓房基础建设，验收合格，能够确保项目顺利进行</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175.5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175.5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175.5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175.5</w:t>
            </w:r>
          </w:p>
        </w:tc>
      </w:tr>
      <w:tr>
        <w:tblPrEx>
          <w:tblLayout w:type="fixed"/>
          <w:tblCellMar>
            <w:top w:w="0" w:type="dxa"/>
            <w:left w:w="0" w:type="dxa"/>
            <w:bottom w:w="0" w:type="dxa"/>
            <w:right w:w="0" w:type="dxa"/>
          </w:tblCellMar>
        </w:tblPrEx>
        <w:trPr>
          <w:trHeight w:val="356" w:hRule="atLeast"/>
        </w:trPr>
        <w:tc>
          <w:tcPr>
            <w:tcW w:w="745" w:type="dxa"/>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强化我县承担原粮储备企业日常管理水平，完善相关制度落实，保障储备原粮不出现质量问题</w:t>
            </w:r>
          </w:p>
        </w:tc>
        <w:tc>
          <w:tcPr>
            <w:tcW w:w="111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为全县粮食市场稳定发展做好保障</w:t>
            </w:r>
          </w:p>
        </w:tc>
        <w:tc>
          <w:tcPr>
            <w:tcW w:w="116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粮食市场监测预警费用</w:t>
            </w:r>
          </w:p>
        </w:tc>
        <w:tc>
          <w:tcPr>
            <w:tcW w:w="2910" w:type="dxa"/>
            <w:gridSpan w:val="4"/>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完成了全年粮食市场监测，未发生异常</w:t>
            </w:r>
          </w:p>
        </w:tc>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40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11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Layout w:type="fixed"/>
          <w:tblCellMar>
            <w:top w:w="0" w:type="dxa"/>
            <w:left w:w="0" w:type="dxa"/>
            <w:bottom w:w="0" w:type="dxa"/>
            <w:right w:w="0" w:type="dxa"/>
          </w:tblCellMar>
        </w:tblPrEx>
        <w:trPr>
          <w:trHeight w:val="356" w:hRule="atLeast"/>
        </w:trPr>
        <w:tc>
          <w:tcPr>
            <w:tcW w:w="745" w:type="dxa"/>
            <w:vMerge w:val="continue"/>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tc>
        <w:tc>
          <w:tcPr>
            <w:tcW w:w="116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tc>
        <w:tc>
          <w:tcPr>
            <w:tcW w:w="111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color w:val="000000"/>
                <w:kern w:val="0"/>
                <w:sz w:val="18"/>
                <w:szCs w:val="18"/>
                <w:lang w:val="en-US" w:eastAsia="zh-CN"/>
              </w:rPr>
              <w:t>为粮食的收储提供了有效保障，有效提升了我县粮食供应安全保障能力</w:t>
            </w:r>
          </w:p>
        </w:tc>
        <w:tc>
          <w:tcPr>
            <w:tcW w:w="1163" w:type="dxa"/>
            <w:gridSpan w:val="2"/>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color w:val="000000"/>
                <w:kern w:val="0"/>
                <w:sz w:val="18"/>
                <w:szCs w:val="18"/>
                <w:lang w:val="en-US" w:eastAsia="zh-CN"/>
              </w:rPr>
              <w:t>储备粮管理</w:t>
            </w:r>
          </w:p>
        </w:tc>
        <w:tc>
          <w:tcPr>
            <w:tcW w:w="2910" w:type="dxa"/>
            <w:gridSpan w:val="4"/>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完成储备粮收储和管理工作</w:t>
            </w:r>
          </w:p>
        </w:tc>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r>
      <w:tr>
        <w:tblPrEx>
          <w:tblLayout w:type="fixed"/>
          <w:tblCellMar>
            <w:top w:w="0" w:type="dxa"/>
            <w:left w:w="0" w:type="dxa"/>
            <w:bottom w:w="0" w:type="dxa"/>
            <w:right w:w="0" w:type="dxa"/>
          </w:tblCellMar>
        </w:tblPrEx>
        <w:trPr>
          <w:trHeight w:val="755" w:hRule="atLeast"/>
        </w:trPr>
        <w:tc>
          <w:tcPr>
            <w:tcW w:w="745"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auto" w:sz="4" w:space="0"/>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为粮食的收储供应提供安全保障</w:t>
            </w:r>
          </w:p>
        </w:tc>
        <w:tc>
          <w:tcPr>
            <w:tcW w:w="1163"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粮食收储供应安全保障经费</w:t>
            </w:r>
          </w:p>
        </w:tc>
        <w:tc>
          <w:tcPr>
            <w:tcW w:w="2910"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完成粮食质量检验和粮食储备，确保原粮供应不断档，实现我县粮食供应安全保障能力提升和粮食质量安全</w:t>
            </w:r>
          </w:p>
        </w:tc>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110"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完善粮食质量监测体系，保证粮食安全储粮</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粮食质量监测体系建设经费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完成了定期不定期对粮食质量的监测，完善了相关制度，能保证承储企业的原粮存储的安全</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粮食流通市场秩序良好，维护经营者、消费者的合法权益</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粮食流通监督检查经费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通过定期不定期对粮食流通活动的检查，保证承担原粮储备企业规范经营，按期轮换，按期收储，最大程度保证农民权益</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实现药品流通行业的管理，了解全国药品流通情况</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加强</w:t>
            </w:r>
            <w:r>
              <w:rPr>
                <w:rFonts w:hint="default" w:ascii="仿宋" w:hAnsi="仿宋" w:eastAsia="仿宋" w:cs="仿宋"/>
                <w:sz w:val="18"/>
                <w:szCs w:val="18"/>
                <w:lang w:val="en-US" w:eastAsia="zh-CN"/>
              </w:rPr>
              <w:fldChar w:fldCharType="begin"/>
            </w:r>
            <w:r>
              <w:rPr>
                <w:rFonts w:hint="default" w:ascii="仿宋" w:hAnsi="仿宋" w:eastAsia="仿宋" w:cs="仿宋"/>
                <w:sz w:val="18"/>
                <w:szCs w:val="18"/>
                <w:lang w:val="en-US" w:eastAsia="zh-CN"/>
              </w:rPr>
              <w:instrText xml:space="preserve"> HYPERLINK "https://baike.baidu.com/item/%E8%8D%AF%E5%93%81%E7%9B%91%E7%9D%A3%E7%AE%A1%E7%90%86/6697703" \t "https://baike.baidu.com/item/%E8%8D%AF%E5%93%81%E6%B5%81%E9%80%9A%E7%9B%91%E7%9D%A3%E7%AE%A1%E7%90%86%E5%8A%9E%E6%B3%95/_blank" </w:instrText>
            </w:r>
            <w:r>
              <w:rPr>
                <w:rFonts w:hint="default" w:ascii="仿宋" w:hAnsi="仿宋" w:eastAsia="仿宋" w:cs="仿宋"/>
                <w:sz w:val="18"/>
                <w:szCs w:val="18"/>
                <w:lang w:val="en-US" w:eastAsia="zh-CN"/>
              </w:rPr>
              <w:fldChar w:fldCharType="separate"/>
            </w:r>
            <w:r>
              <w:rPr>
                <w:rFonts w:hint="default" w:ascii="仿宋" w:hAnsi="仿宋" w:eastAsia="仿宋" w:cs="仿宋"/>
                <w:sz w:val="18"/>
                <w:szCs w:val="18"/>
                <w:lang w:val="en-US" w:eastAsia="zh-CN"/>
              </w:rPr>
              <w:t>药品监督管理</w:t>
            </w:r>
            <w:r>
              <w:rPr>
                <w:rFonts w:hint="default" w:ascii="仿宋" w:hAnsi="仿宋" w:eastAsia="仿宋" w:cs="仿宋"/>
                <w:sz w:val="18"/>
                <w:szCs w:val="18"/>
                <w:lang w:val="en-US" w:eastAsia="zh-CN"/>
              </w:rPr>
              <w:fldChar w:fldCharType="end"/>
            </w:r>
            <w:r>
              <w:rPr>
                <w:rFonts w:hint="default" w:ascii="仿宋" w:hAnsi="仿宋" w:eastAsia="仿宋" w:cs="仿宋"/>
                <w:sz w:val="18"/>
                <w:szCs w:val="18"/>
                <w:lang w:val="en-US" w:eastAsia="zh-CN"/>
              </w:rPr>
              <w:t>，规范药品流通秩序，保证药品质量</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商贸流通药品流通监管业务费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了解全国药品流通情况，维护群众利益</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完成上年度粮油产供需平衡调查，统计推算出全县粮食产供需数</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掌握全县粮油供需平衡的数据，为决策提供数据支撑，保障决策科学性</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社会粮食统计调查经费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通过抽查，统计推算出全县粮食产供需数，为省市决策提供数据依据</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通过申报省重点项目，力争全年省重点项目数量不少于3个</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提高了办理审批手续，确保重点项目顺利实施</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省重点项目申报经费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2019年完成省重点项目4个</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根据2019年工作的计划及部署，开展劳务、宣传、印刷、业务及办公费用的支付，保障香河县“双创双服”活动领导小组办公室的日常工作，完成县2019年“双创双服”活动工作任务</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解决了政策解读不到位、企业减负不明显等问题情况，努力营造便商重商、亲商重商的浓厚氛围</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“双创双服”活动资金</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较好地完成了县2019年“双创双服”活动工作任务。</w:t>
            </w:r>
          </w:p>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，在全市双创双服活动中取得优秀成绩</w:t>
            </w:r>
          </w:p>
        </w:tc>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140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c>
          <w:tcPr>
            <w:tcW w:w="211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w:t>
            </w:r>
          </w:p>
        </w:tc>
      </w:tr>
      <w:tr>
        <w:tblPrEx>
          <w:tblLayout w:type="fixed"/>
          <w:tblCellMar>
            <w:top w:w="0" w:type="dxa"/>
            <w:left w:w="0" w:type="dxa"/>
            <w:bottom w:w="0" w:type="dxa"/>
            <w:right w:w="0" w:type="dxa"/>
          </w:tblCellMar>
        </w:tblPrEx>
        <w:trPr>
          <w:trHeight w:val="46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举办招商推介会</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促进大型企业落户香河，推动香河地区经济发展</w:t>
            </w:r>
          </w:p>
        </w:tc>
        <w:tc>
          <w:tcPr>
            <w:tcW w:w="116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招商经费</w:t>
            </w:r>
          </w:p>
        </w:tc>
        <w:tc>
          <w:tcPr>
            <w:tcW w:w="2910" w:type="dxa"/>
            <w:gridSpan w:val="4"/>
            <w:tcBorders>
              <w:top w:val="single" w:color="000000"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通过开展完成对外招商活动，引进一批战略支撑项目，龙头企业</w:t>
            </w:r>
          </w:p>
        </w:tc>
        <w:tc>
          <w:tcPr>
            <w:tcW w:w="695" w:type="dxa"/>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r>
      <w:tr>
        <w:tblPrEx>
          <w:tblLayout w:type="fixed"/>
          <w:tblCellMar>
            <w:top w:w="0" w:type="dxa"/>
            <w:left w:w="0" w:type="dxa"/>
            <w:bottom w:w="0" w:type="dxa"/>
            <w:right w:w="0" w:type="dxa"/>
          </w:tblCellMar>
        </w:tblPrEx>
        <w:trPr>
          <w:trHeight w:val="467" w:hRule="atLeast"/>
        </w:trPr>
        <w:tc>
          <w:tcPr>
            <w:tcW w:w="745" w:type="dxa"/>
            <w:vMerge w:val="continue"/>
            <w:tcBorders>
              <w:left w:val="single" w:color="auto" w:sz="4" w:space="0"/>
              <w:bottom w:val="single" w:color="000000" w:sz="4" w:space="0"/>
              <w:right w:val="single" w:color="000000" w:sz="4" w:space="0"/>
            </w:tcBorders>
            <w:tcMar>
              <w:top w:w="12" w:type="dxa"/>
              <w:left w:w="12" w:type="dxa"/>
              <w:right w:w="12" w:type="dxa"/>
            </w:tcMar>
            <w:vAlign w:val="center"/>
          </w:tcPr>
          <w:p>
            <w:pPr>
              <w:jc w:val="center"/>
            </w:p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pPr>
          </w:p>
        </w:tc>
        <w:tc>
          <w:tcPr>
            <w:tcW w:w="1119"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实现推介我县投资环境，吸引国内外客商</w:t>
            </w:r>
          </w:p>
        </w:tc>
        <w:tc>
          <w:tcPr>
            <w:tcW w:w="116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商贸洽谈会</w:t>
            </w:r>
          </w:p>
        </w:tc>
        <w:tc>
          <w:tcPr>
            <w:tcW w:w="2910"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通过开展完成对外招商活动，引进一批战略支撑项目，龙头企业</w:t>
            </w:r>
          </w:p>
        </w:tc>
        <w:tc>
          <w:tcPr>
            <w:tcW w:w="695" w:type="dxa"/>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项目完工，投入使用，存储原粮，保障原粮存储安全</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保证粮食安全储备</w:t>
            </w:r>
          </w:p>
        </w:tc>
        <w:tc>
          <w:tcPr>
            <w:tcW w:w="1163"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政策性应急供应粮食仓储设施维修改造项目资金</w:t>
            </w:r>
          </w:p>
        </w:tc>
        <w:tc>
          <w:tcPr>
            <w:tcW w:w="2910"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项目已完工并投入使用，能够保证承储企业的原粮存储的安全</w:t>
            </w:r>
          </w:p>
        </w:tc>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46.16</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46.16</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46.16</w:t>
            </w:r>
          </w:p>
        </w:tc>
        <w:tc>
          <w:tcPr>
            <w:tcW w:w="2110"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46.16</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政府投资项目可研评审费用</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确保政府投资项目科学化、合理化，保障资金使用效率</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default" w:ascii="仿宋" w:hAnsi="仿宋" w:eastAsia="仿宋" w:cs="仿宋"/>
                <w:sz w:val="18"/>
                <w:szCs w:val="18"/>
                <w:lang w:val="en-US" w:eastAsia="zh-CN"/>
              </w:rPr>
              <w:t>开展</w:t>
            </w:r>
            <w:r>
              <w:rPr>
                <w:rFonts w:hint="eastAsia" w:ascii="仿宋" w:hAnsi="仿宋" w:eastAsia="仿宋" w:cs="仿宋"/>
                <w:sz w:val="18"/>
                <w:szCs w:val="18"/>
                <w:lang w:val="en-US" w:eastAsia="zh-CN"/>
              </w:rPr>
              <w:t>2019</w:t>
            </w:r>
            <w:r>
              <w:rPr>
                <w:rFonts w:hint="default" w:ascii="仿宋" w:hAnsi="仿宋" w:eastAsia="仿宋" w:cs="仿宋"/>
                <w:sz w:val="18"/>
                <w:szCs w:val="18"/>
                <w:lang w:val="en-US" w:eastAsia="zh-CN"/>
              </w:rPr>
              <w:t>年政府投资项目可研评审项目20个</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2019年11月20日已将政府投资项目可研评审费用50万元支出</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50</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执法机构经费</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通过对成品油市场的监督管理，保护消费者合法权益</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完成全县加油站、加油点检查</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完成成品油市场的监督管理，完成本年度的执法监督检查工作</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省重点项目电子台账专项经费</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加快办理审批手续，确保重点项目顺利实施</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通过申报省重点项目，力争全年省重点项目数量不少于3个。通过电子平台完善重点项目信息</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2019年完成省重点项目4个</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r>
      <w:tr>
        <w:tblPrEx>
          <w:tblLayout w:type="fixed"/>
          <w:tblCellMar>
            <w:top w:w="0" w:type="dxa"/>
            <w:left w:w="0" w:type="dxa"/>
            <w:bottom w:w="0" w:type="dxa"/>
            <w:right w:w="0" w:type="dxa"/>
          </w:tblCellMar>
        </w:tblPrEx>
        <w:trPr>
          <w:trHeight w:val="1152"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360"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金额合计</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2689.235079</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2689.235079</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2689.235079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2689.235079</w:t>
            </w:r>
          </w:p>
        </w:tc>
      </w:tr>
    </w:tbl>
    <w:p>
      <w:pPr>
        <w:spacing w:line="40" w:lineRule="exact"/>
      </w:pPr>
    </w:p>
    <w:tbl>
      <w:tblPr>
        <w:tblStyle w:val="4"/>
        <w:tblW w:w="12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665"/>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一级</w:t>
            </w:r>
          </w:p>
          <w:p>
            <w:pPr>
              <w:jc w:val="center"/>
              <w:textAlignment w:val="center"/>
              <w:rPr>
                <w:rFonts w:eastAsia="仿宋_GB2312"/>
                <w:color w:val="000000"/>
                <w:sz w:val="18"/>
                <w:szCs w:val="18"/>
              </w:rPr>
            </w:pPr>
            <w:r>
              <w:rPr>
                <w:rStyle w:val="17"/>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二级</w:t>
            </w:r>
          </w:p>
          <w:p>
            <w:pPr>
              <w:jc w:val="center"/>
              <w:textAlignment w:val="center"/>
              <w:rPr>
                <w:rFonts w:eastAsia="仿宋_GB2312"/>
                <w:color w:val="000000"/>
                <w:sz w:val="18"/>
                <w:szCs w:val="18"/>
              </w:rPr>
            </w:pPr>
            <w:r>
              <w:rPr>
                <w:rStyle w:val="17"/>
                <w:rFonts w:ascii="Times New Roman"/>
                <w:lang w:eastAsia="zh-CN"/>
              </w:rPr>
              <w:t>指标</w:t>
            </w:r>
          </w:p>
        </w:tc>
        <w:tc>
          <w:tcPr>
            <w:tcW w:w="704" w:type="dxa"/>
            <w:tcMar>
              <w:top w:w="12" w:type="dxa"/>
              <w:left w:w="12" w:type="dxa"/>
              <w:right w:w="12" w:type="dxa"/>
            </w:tcMar>
            <w:vAlign w:val="center"/>
          </w:tcPr>
          <w:p>
            <w:pPr>
              <w:jc w:val="center"/>
              <w:textAlignment w:val="center"/>
              <w:rPr>
                <w:rStyle w:val="17"/>
                <w:rFonts w:ascii="Times New Roman"/>
                <w:lang w:eastAsia="zh-CN"/>
              </w:rPr>
            </w:pPr>
            <w:r>
              <w:rPr>
                <w:rStyle w:val="17"/>
                <w:rFonts w:ascii="Times New Roman"/>
                <w:lang w:eastAsia="zh-CN"/>
              </w:rPr>
              <w:t>三级</w:t>
            </w:r>
          </w:p>
          <w:p>
            <w:pPr>
              <w:jc w:val="center"/>
              <w:textAlignment w:val="center"/>
              <w:rPr>
                <w:rFonts w:eastAsia="仿宋_GB2312"/>
                <w:color w:val="000000"/>
                <w:sz w:val="18"/>
                <w:szCs w:val="18"/>
              </w:rPr>
            </w:pPr>
            <w:r>
              <w:rPr>
                <w:rStyle w:val="17"/>
                <w:rFonts w:ascii="Times New Roman"/>
                <w:lang w:eastAsia="zh-CN"/>
              </w:rPr>
              <w:t>指标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目标值</w:t>
            </w:r>
          </w:p>
        </w:tc>
        <w:tc>
          <w:tcPr>
            <w:tcW w:w="784" w:type="dxa"/>
            <w:tcMar>
              <w:top w:w="12" w:type="dxa"/>
              <w:left w:w="12" w:type="dxa"/>
              <w:right w:w="12" w:type="dxa"/>
            </w:tcMar>
            <w:vAlign w:val="center"/>
          </w:tcPr>
          <w:p>
            <w:pPr>
              <w:jc w:val="center"/>
              <w:textAlignment w:val="center"/>
              <w:rPr>
                <w:rStyle w:val="17"/>
                <w:rFonts w:ascii="Times New Roman"/>
                <w:lang w:eastAsia="zh-CN"/>
              </w:rPr>
            </w:pPr>
            <w:r>
              <w:rPr>
                <w:rStyle w:val="17"/>
                <w:rFonts w:ascii="Times New Roman"/>
                <w:lang w:eastAsia="zh-CN"/>
              </w:rPr>
              <w:t>自评</w:t>
            </w:r>
          </w:p>
          <w:p>
            <w:pPr>
              <w:jc w:val="center"/>
              <w:textAlignment w:val="center"/>
              <w:rPr>
                <w:rFonts w:eastAsia="仿宋_GB2312"/>
                <w:color w:val="000000"/>
                <w:sz w:val="18"/>
                <w:szCs w:val="18"/>
              </w:rPr>
            </w:pPr>
            <w:r>
              <w:rPr>
                <w:rStyle w:val="17"/>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17"/>
                <w:rFonts w:ascii="Times New Roman"/>
                <w:lang w:eastAsia="zh-CN"/>
              </w:rPr>
              <w:t>指标解释</w:t>
            </w:r>
            <w:r>
              <w:rPr>
                <w:rStyle w:val="18"/>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17"/>
                <w:rFonts w:ascii="Times New Roman"/>
                <w:lang w:eastAsia="zh-CN"/>
              </w:rPr>
              <w:t>部门管理（</w:t>
            </w:r>
            <w:r>
              <w:rPr>
                <w:rStyle w:val="18"/>
                <w:rFonts w:eastAsia="仿宋_GB2312"/>
                <w:lang w:eastAsia="zh-CN"/>
              </w:rPr>
              <w:t>40</w:t>
            </w:r>
            <w:r>
              <w:rPr>
                <w:rStyle w:val="17"/>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资金</w:t>
            </w:r>
          </w:p>
          <w:p>
            <w:pPr>
              <w:jc w:val="center"/>
              <w:textAlignment w:val="center"/>
              <w:rPr>
                <w:rFonts w:eastAsia="仿宋_GB2312"/>
                <w:color w:val="000000"/>
                <w:sz w:val="18"/>
                <w:szCs w:val="18"/>
              </w:rPr>
            </w:pPr>
            <w:r>
              <w:rPr>
                <w:rStyle w:val="17"/>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预算完成率</w:t>
            </w:r>
            <w:r>
              <w:rPr>
                <w:rFonts w:eastAsia="仿宋_GB2312"/>
                <w:color w:val="000000"/>
                <w:sz w:val="18"/>
                <w:szCs w:val="18"/>
                <w:lang w:eastAsia="zh-CN"/>
              </w:rPr>
              <w:t xml:space="preserve"> </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94%</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Style w:val="17"/>
                <w:rFonts w:ascii="Times New Roman"/>
                <w:lang w:eastAsia="zh-CN"/>
              </w:rPr>
              <w:t>预算完成率</w:t>
            </w:r>
            <w:r>
              <w:rPr>
                <w:rStyle w:val="18"/>
                <w:rFonts w:eastAsia="仿宋_GB2312"/>
                <w:lang w:eastAsia="zh-CN"/>
              </w:rPr>
              <w:t>=</w:t>
            </w:r>
            <w:r>
              <w:rPr>
                <w:rStyle w:val="17"/>
                <w:rFonts w:ascii="Times New Roman"/>
                <w:lang w:eastAsia="zh-CN"/>
              </w:rPr>
              <w:t>（预算完成数</w:t>
            </w:r>
            <w:r>
              <w:rPr>
                <w:rStyle w:val="18"/>
                <w:rFonts w:eastAsia="仿宋_GB2312"/>
                <w:lang w:eastAsia="zh-CN"/>
              </w:rPr>
              <w:t>/</w:t>
            </w:r>
            <w:r>
              <w:rPr>
                <w:rStyle w:val="17"/>
                <w:rFonts w:ascii="Times New Roman"/>
                <w:lang w:eastAsia="zh-CN"/>
              </w:rPr>
              <w:t>调整预算数）</w:t>
            </w:r>
            <w:r>
              <w:rPr>
                <w:rStyle w:val="18"/>
                <w:rFonts w:eastAsia="仿宋_GB2312"/>
                <w:lang w:eastAsia="zh-CN"/>
              </w:rPr>
              <w:t>×100%</w:t>
            </w:r>
            <w:r>
              <w:rPr>
                <w:rStyle w:val="17"/>
                <w:rFonts w:ascii="Times New Roman"/>
                <w:lang w:eastAsia="zh-CN"/>
              </w:rPr>
              <w:t>。</w:t>
            </w:r>
          </w:p>
          <w:p>
            <w:pPr>
              <w:jc w:val="both"/>
              <w:textAlignment w:val="center"/>
              <w:rPr>
                <w:rFonts w:eastAsia="仿宋_GB2312"/>
                <w:sz w:val="18"/>
                <w:szCs w:val="18"/>
                <w:lang w:eastAsia="zh-CN"/>
              </w:rPr>
            </w:pPr>
            <w:r>
              <w:rPr>
                <w:rStyle w:val="17"/>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预算调整率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Style w:val="17"/>
                <w:rFonts w:ascii="Times New Roman"/>
                <w:lang w:eastAsia="zh-CN"/>
              </w:rPr>
              <w:t>预算调整率</w:t>
            </w:r>
            <w:r>
              <w:rPr>
                <w:rStyle w:val="18"/>
                <w:rFonts w:eastAsia="仿宋_GB2312"/>
                <w:lang w:eastAsia="zh-CN"/>
              </w:rPr>
              <w:t>=</w:t>
            </w:r>
            <w:r>
              <w:rPr>
                <w:rStyle w:val="17"/>
                <w:rFonts w:ascii="Times New Roman"/>
                <w:lang w:eastAsia="zh-CN"/>
              </w:rPr>
              <w:t>（预算调整数</w:t>
            </w:r>
            <w:r>
              <w:rPr>
                <w:rStyle w:val="18"/>
                <w:rFonts w:eastAsia="仿宋_GB2312"/>
                <w:lang w:eastAsia="zh-CN"/>
              </w:rPr>
              <w:t>/</w:t>
            </w:r>
            <w:r>
              <w:rPr>
                <w:rStyle w:val="17"/>
                <w:rFonts w:ascii="Times New Roman"/>
                <w:lang w:eastAsia="zh-CN"/>
              </w:rPr>
              <w:t>年初预算数）</w:t>
            </w:r>
            <w:r>
              <w:rPr>
                <w:rStyle w:val="18"/>
                <w:rFonts w:eastAsia="仿宋_GB2312"/>
                <w:lang w:eastAsia="zh-CN"/>
              </w:rPr>
              <w:t>×100%</w:t>
            </w:r>
            <w:r>
              <w:rPr>
                <w:rStyle w:val="17"/>
                <w:rFonts w:ascii="Times New Roman"/>
                <w:lang w:eastAsia="zh-CN"/>
              </w:rPr>
              <w:t>。</w:t>
            </w:r>
          </w:p>
          <w:p>
            <w:pPr>
              <w:jc w:val="both"/>
              <w:textAlignment w:val="center"/>
              <w:rPr>
                <w:rFonts w:eastAsia="仿宋_GB2312"/>
                <w:sz w:val="18"/>
                <w:szCs w:val="18"/>
                <w:lang w:eastAsia="zh-CN"/>
              </w:rPr>
            </w:pPr>
            <w:r>
              <w:rPr>
                <w:rStyle w:val="17"/>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支出进度率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Fonts w:eastAsia="仿宋_GB2312"/>
                <w:color w:val="000000"/>
                <w:sz w:val="18"/>
                <w:szCs w:val="18"/>
                <w:lang w:eastAsia="zh-CN"/>
              </w:rPr>
              <w:t>支付进度率</w:t>
            </w:r>
            <w:r>
              <w:rPr>
                <w:rStyle w:val="18"/>
                <w:rFonts w:eastAsia="仿宋_GB2312"/>
                <w:lang w:eastAsia="zh-CN"/>
              </w:rPr>
              <w:t>=</w:t>
            </w:r>
            <w:r>
              <w:rPr>
                <w:rStyle w:val="17"/>
                <w:rFonts w:ascii="Times New Roman"/>
                <w:lang w:eastAsia="zh-CN"/>
              </w:rPr>
              <w:t>（</w:t>
            </w:r>
            <w:r>
              <w:rPr>
                <w:rStyle w:val="18"/>
                <w:rFonts w:eastAsia="仿宋_GB2312"/>
                <w:lang w:eastAsia="zh-CN"/>
              </w:rPr>
              <w:t>6</w:t>
            </w:r>
            <w:r>
              <w:rPr>
                <w:rStyle w:val="17"/>
                <w:rFonts w:ascii="Times New Roman"/>
                <w:lang w:eastAsia="zh-CN"/>
              </w:rPr>
              <w:t>月末实际支付进度</w:t>
            </w:r>
            <w:r>
              <w:rPr>
                <w:rStyle w:val="18"/>
                <w:rFonts w:eastAsia="仿宋_GB2312"/>
                <w:lang w:eastAsia="zh-CN"/>
              </w:rPr>
              <w:t>/6</w:t>
            </w:r>
            <w:r>
              <w:rPr>
                <w:rStyle w:val="17"/>
                <w:rFonts w:ascii="Times New Roman"/>
                <w:lang w:eastAsia="zh-CN"/>
              </w:rPr>
              <w:t>月末序时支付进度）</w:t>
            </w:r>
            <w:r>
              <w:rPr>
                <w:rStyle w:val="18"/>
                <w:rFonts w:eastAsia="仿宋_GB2312"/>
                <w:lang w:eastAsia="zh-CN"/>
              </w:rPr>
              <w:t>×1/6+</w:t>
            </w:r>
            <w:r>
              <w:rPr>
                <w:rStyle w:val="17"/>
                <w:rFonts w:ascii="Times New Roman"/>
                <w:lang w:eastAsia="zh-CN"/>
              </w:rPr>
              <w:t>（</w:t>
            </w:r>
            <w:r>
              <w:rPr>
                <w:rStyle w:val="18"/>
                <w:rFonts w:eastAsia="仿宋_GB2312"/>
                <w:lang w:eastAsia="zh-CN"/>
              </w:rPr>
              <w:t>9</w:t>
            </w:r>
            <w:r>
              <w:rPr>
                <w:rStyle w:val="17"/>
                <w:rFonts w:ascii="Times New Roman"/>
                <w:lang w:eastAsia="zh-CN"/>
              </w:rPr>
              <w:t>月末实际支付进度</w:t>
            </w:r>
            <w:r>
              <w:rPr>
                <w:rStyle w:val="18"/>
                <w:rFonts w:eastAsia="仿宋_GB2312"/>
                <w:lang w:eastAsia="zh-CN"/>
              </w:rPr>
              <w:t>/9</w:t>
            </w:r>
            <w:r>
              <w:rPr>
                <w:rStyle w:val="17"/>
                <w:rFonts w:ascii="Times New Roman"/>
                <w:lang w:eastAsia="zh-CN"/>
              </w:rPr>
              <w:t>月末序时支付进度）</w:t>
            </w:r>
            <w:r>
              <w:rPr>
                <w:rStyle w:val="18"/>
                <w:rFonts w:eastAsia="仿宋_GB2312"/>
                <w:lang w:eastAsia="zh-CN"/>
              </w:rPr>
              <w:t>×1/6+</w:t>
            </w:r>
            <w:r>
              <w:rPr>
                <w:rStyle w:val="17"/>
                <w:rFonts w:ascii="Times New Roman"/>
                <w:lang w:eastAsia="zh-CN"/>
              </w:rPr>
              <w:t>（</w:t>
            </w:r>
            <w:r>
              <w:rPr>
                <w:rStyle w:val="18"/>
                <w:rFonts w:eastAsia="仿宋_GB2312"/>
                <w:lang w:eastAsia="zh-CN"/>
              </w:rPr>
              <w:t>11</w:t>
            </w:r>
            <w:r>
              <w:rPr>
                <w:rStyle w:val="17"/>
                <w:rFonts w:ascii="Times New Roman"/>
                <w:lang w:eastAsia="zh-CN"/>
              </w:rPr>
              <w:t>月末实际支付进度</w:t>
            </w:r>
            <w:r>
              <w:rPr>
                <w:rStyle w:val="18"/>
                <w:rFonts w:eastAsia="仿宋_GB2312"/>
                <w:lang w:eastAsia="zh-CN"/>
              </w:rPr>
              <w:t>/11</w:t>
            </w:r>
            <w:r>
              <w:rPr>
                <w:rStyle w:val="17"/>
                <w:rFonts w:ascii="Times New Roman"/>
                <w:lang w:eastAsia="zh-CN"/>
              </w:rPr>
              <w:t>月末序时支付进度）</w:t>
            </w:r>
            <w:r>
              <w:rPr>
                <w:rStyle w:val="18"/>
                <w:rFonts w:eastAsia="仿宋_GB2312"/>
                <w:lang w:eastAsia="zh-CN"/>
              </w:rPr>
              <w:t>×1/6+</w:t>
            </w:r>
            <w:r>
              <w:rPr>
                <w:rStyle w:val="17"/>
                <w:rFonts w:ascii="Times New Roman"/>
                <w:lang w:eastAsia="zh-CN"/>
              </w:rPr>
              <w:t>（</w:t>
            </w:r>
            <w:r>
              <w:rPr>
                <w:rStyle w:val="18"/>
                <w:rFonts w:eastAsia="仿宋_GB2312"/>
                <w:lang w:eastAsia="zh-CN"/>
              </w:rPr>
              <w:t>12</w:t>
            </w:r>
            <w:r>
              <w:rPr>
                <w:rStyle w:val="17"/>
                <w:rFonts w:ascii="Times New Roman"/>
                <w:lang w:eastAsia="zh-CN"/>
              </w:rPr>
              <w:t>月末实际支付进度</w:t>
            </w:r>
            <w:r>
              <w:rPr>
                <w:rStyle w:val="18"/>
                <w:rFonts w:eastAsia="仿宋_GB2312"/>
                <w:lang w:eastAsia="zh-CN"/>
              </w:rPr>
              <w:t>/95%</w:t>
            </w:r>
            <w:r>
              <w:rPr>
                <w:rStyle w:val="17"/>
                <w:rFonts w:ascii="Times New Roman"/>
                <w:lang w:eastAsia="zh-CN"/>
              </w:rPr>
              <w:t>）</w:t>
            </w:r>
            <w:r>
              <w:rPr>
                <w:rStyle w:val="18"/>
                <w:rFonts w:eastAsia="仿宋_GB2312"/>
                <w:lang w:eastAsia="zh-CN"/>
              </w:rPr>
              <w:t>×1/2</w:t>
            </w:r>
            <w:r>
              <w:rPr>
                <w:rStyle w:val="19"/>
                <w:rFonts w:hint="default" w:ascii="Times New Roman" w:hAnsi="Times New Roman" w:eastAsia="仿宋_GB2312"/>
                <w:lang w:eastAsia="zh-CN"/>
              </w:rPr>
              <w:t>。</w:t>
            </w:r>
          </w:p>
          <w:p>
            <w:pPr>
              <w:jc w:val="both"/>
              <w:textAlignment w:val="center"/>
              <w:rPr>
                <w:rStyle w:val="17"/>
                <w:rFonts w:ascii="Times New Roman"/>
                <w:lang w:eastAsia="zh-CN"/>
              </w:rPr>
            </w:pPr>
            <w:r>
              <w:rPr>
                <w:rStyle w:val="17"/>
                <w:rFonts w:ascii="Times New Roman"/>
                <w:lang w:eastAsia="zh-CN"/>
              </w:rPr>
              <w:t>实际支付进度是指部门（单位）在某一时点的支出预算执行总数与调整预算数的比率。</w:t>
            </w:r>
            <w:r>
              <w:rPr>
                <w:rStyle w:val="18"/>
                <w:rFonts w:eastAsia="仿宋_GB2312"/>
                <w:lang w:eastAsia="zh-CN"/>
              </w:rPr>
              <w:t>6</w:t>
            </w:r>
            <w:r>
              <w:rPr>
                <w:rStyle w:val="17"/>
                <w:rFonts w:ascii="Times New Roman"/>
                <w:lang w:eastAsia="zh-CN"/>
              </w:rPr>
              <w:t>月末序时支付进度</w:t>
            </w:r>
            <w:r>
              <w:rPr>
                <w:rStyle w:val="18"/>
                <w:rFonts w:eastAsia="仿宋_GB2312"/>
                <w:lang w:eastAsia="zh-CN"/>
              </w:rPr>
              <w:t>=6/12</w:t>
            </w:r>
            <w:r>
              <w:rPr>
                <w:rStyle w:val="17"/>
                <w:rFonts w:ascii="Times New Roman"/>
                <w:lang w:eastAsia="zh-CN"/>
              </w:rPr>
              <w:t>；</w:t>
            </w:r>
            <w:r>
              <w:rPr>
                <w:rStyle w:val="18"/>
                <w:rFonts w:eastAsia="仿宋_GB2312"/>
                <w:lang w:eastAsia="zh-CN"/>
              </w:rPr>
              <w:t>9</w:t>
            </w:r>
            <w:r>
              <w:rPr>
                <w:rStyle w:val="17"/>
                <w:rFonts w:ascii="Times New Roman"/>
                <w:lang w:eastAsia="zh-CN"/>
              </w:rPr>
              <w:t>月末序时支付进度</w:t>
            </w:r>
            <w:r>
              <w:rPr>
                <w:rStyle w:val="18"/>
                <w:rFonts w:eastAsia="仿宋_GB2312"/>
                <w:lang w:eastAsia="zh-CN"/>
              </w:rPr>
              <w:t>=9/12</w:t>
            </w:r>
            <w:r>
              <w:rPr>
                <w:rStyle w:val="17"/>
                <w:rFonts w:ascii="Times New Roman"/>
                <w:lang w:eastAsia="zh-CN"/>
              </w:rPr>
              <w:t>；</w:t>
            </w:r>
            <w:r>
              <w:rPr>
                <w:rStyle w:val="18"/>
                <w:rFonts w:eastAsia="仿宋_GB2312"/>
                <w:lang w:eastAsia="zh-CN"/>
              </w:rPr>
              <w:t>11</w:t>
            </w:r>
            <w:r>
              <w:rPr>
                <w:rStyle w:val="17"/>
                <w:rFonts w:ascii="Times New Roman"/>
                <w:lang w:eastAsia="zh-CN"/>
              </w:rPr>
              <w:t>月末序时支付进度</w:t>
            </w:r>
            <w:r>
              <w:rPr>
                <w:rStyle w:val="18"/>
                <w:rFonts w:eastAsia="仿宋_GB2312"/>
                <w:lang w:eastAsia="zh-CN"/>
              </w:rPr>
              <w:t>=11/12</w:t>
            </w:r>
            <w:r>
              <w:rPr>
                <w:rStyle w:val="17"/>
                <w:rFonts w:ascii="Times New Roman"/>
                <w:lang w:eastAsia="zh-CN"/>
              </w:rPr>
              <w:t>；</w:t>
            </w:r>
            <w:r>
              <w:rPr>
                <w:rStyle w:val="18"/>
                <w:rFonts w:eastAsia="仿宋_GB2312"/>
                <w:lang w:eastAsia="zh-CN"/>
              </w:rPr>
              <w:t>12</w:t>
            </w:r>
            <w:r>
              <w:rPr>
                <w:rStyle w:val="17"/>
                <w:rFonts w:ascii="Times New Roman"/>
                <w:lang w:eastAsia="zh-CN"/>
              </w:rPr>
              <w:t>月末序时支付进度</w:t>
            </w:r>
            <w:r>
              <w:rPr>
                <w:rStyle w:val="18"/>
                <w:rFonts w:eastAsia="仿宋_GB2312"/>
                <w:lang w:eastAsia="zh-CN"/>
              </w:rPr>
              <w:t>=95%</w:t>
            </w:r>
            <w:r>
              <w:rPr>
                <w:rStyle w:val="19"/>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17"/>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8"/>
                <w:rFonts w:eastAsia="仿宋_GB2312"/>
                <w:lang w:eastAsia="zh-CN"/>
              </w:rPr>
              <w:t>“</w:t>
            </w:r>
            <w:r>
              <w:rPr>
                <w:rStyle w:val="17"/>
                <w:rFonts w:ascii="Times New Roman"/>
                <w:lang w:eastAsia="zh-CN"/>
              </w:rPr>
              <w:t>三公经费</w:t>
            </w:r>
            <w:r>
              <w:rPr>
                <w:rStyle w:val="18"/>
                <w:rFonts w:eastAsia="仿宋_GB2312"/>
                <w:lang w:eastAsia="zh-CN"/>
              </w:rPr>
              <w:t>”</w:t>
            </w:r>
            <w:r>
              <w:rPr>
                <w:rStyle w:val="17"/>
                <w:rFonts w:ascii="Times New Roman"/>
                <w:lang w:eastAsia="zh-CN"/>
              </w:rPr>
              <w:t>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8"/>
                <w:rFonts w:eastAsia="仿宋_GB2312"/>
                <w:lang w:eastAsia="zh-CN"/>
              </w:rPr>
              <w:t>≤0</w:t>
            </w:r>
          </w:p>
        </w:tc>
        <w:tc>
          <w:tcPr>
            <w:tcW w:w="784" w:type="dxa"/>
            <w:tcMar>
              <w:top w:w="12" w:type="dxa"/>
              <w:left w:w="12" w:type="dxa"/>
              <w:right w:w="12" w:type="dxa"/>
            </w:tcMar>
            <w:vAlign w:val="center"/>
          </w:tcPr>
          <w:p>
            <w:pPr>
              <w:jc w:val="center"/>
              <w:rPr>
                <w:rFonts w:eastAsia="仿宋_GB2312"/>
                <w:color w:val="000000"/>
                <w:sz w:val="18"/>
                <w:szCs w:val="18"/>
              </w:rPr>
            </w:pPr>
            <w:r>
              <w:rPr>
                <w:rStyle w:val="18"/>
                <w:rFonts w:eastAsia="仿宋_GB2312"/>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8"/>
                <w:rFonts w:eastAsia="仿宋_GB2312"/>
                <w:lang w:eastAsia="zh-CN"/>
              </w:rPr>
              <w:t>“</w:t>
            </w:r>
            <w:r>
              <w:rPr>
                <w:rStyle w:val="17"/>
                <w:rFonts w:ascii="Times New Roman"/>
                <w:lang w:eastAsia="zh-CN"/>
              </w:rPr>
              <w:t>三公经费</w:t>
            </w:r>
            <w:r>
              <w:rPr>
                <w:rStyle w:val="18"/>
                <w:rFonts w:eastAsia="仿宋_GB2312"/>
                <w:lang w:eastAsia="zh-CN"/>
              </w:rPr>
              <w:t>”</w:t>
            </w:r>
            <w:r>
              <w:rPr>
                <w:rStyle w:val="17"/>
                <w:rFonts w:ascii="Times New Roman"/>
                <w:lang w:eastAsia="zh-CN"/>
              </w:rPr>
              <w:t>变动率</w:t>
            </w:r>
            <w:r>
              <w:rPr>
                <w:rStyle w:val="18"/>
                <w:rFonts w:eastAsia="仿宋_GB2312"/>
                <w:lang w:eastAsia="zh-CN"/>
              </w:rPr>
              <w:t>=[</w:t>
            </w:r>
            <w:r>
              <w:rPr>
                <w:rStyle w:val="17"/>
                <w:rFonts w:ascii="Times New Roman"/>
                <w:lang w:eastAsia="zh-CN"/>
              </w:rPr>
              <w:t>（本年度</w:t>
            </w:r>
            <w:r>
              <w:rPr>
                <w:rStyle w:val="18"/>
                <w:rFonts w:eastAsia="仿宋_GB2312"/>
                <w:lang w:eastAsia="zh-CN"/>
              </w:rPr>
              <w:t>“</w:t>
            </w:r>
            <w:r>
              <w:rPr>
                <w:rStyle w:val="17"/>
                <w:rFonts w:ascii="Times New Roman"/>
                <w:lang w:eastAsia="zh-CN"/>
              </w:rPr>
              <w:t>三公经费</w:t>
            </w:r>
            <w:r>
              <w:rPr>
                <w:rStyle w:val="18"/>
                <w:rFonts w:eastAsia="仿宋_GB2312"/>
                <w:lang w:eastAsia="zh-CN"/>
              </w:rPr>
              <w:t>”</w:t>
            </w:r>
            <w:r>
              <w:rPr>
                <w:rStyle w:val="17"/>
                <w:rFonts w:ascii="Times New Roman"/>
                <w:lang w:eastAsia="zh-CN"/>
              </w:rPr>
              <w:t>支出总额</w:t>
            </w:r>
            <w:r>
              <w:rPr>
                <w:rStyle w:val="18"/>
                <w:rFonts w:eastAsia="仿宋_GB2312"/>
                <w:lang w:eastAsia="zh-CN"/>
              </w:rPr>
              <w:t>-</w:t>
            </w:r>
            <w:r>
              <w:rPr>
                <w:rStyle w:val="17"/>
                <w:rFonts w:ascii="Times New Roman"/>
                <w:lang w:eastAsia="zh-CN"/>
              </w:rPr>
              <w:t>上年度</w:t>
            </w:r>
            <w:r>
              <w:rPr>
                <w:rStyle w:val="18"/>
                <w:rFonts w:eastAsia="仿宋_GB2312"/>
                <w:lang w:eastAsia="zh-CN"/>
              </w:rPr>
              <w:t>“</w:t>
            </w:r>
            <w:r>
              <w:rPr>
                <w:rStyle w:val="17"/>
                <w:rFonts w:ascii="Times New Roman"/>
                <w:lang w:eastAsia="zh-CN"/>
              </w:rPr>
              <w:t>三公经费</w:t>
            </w:r>
            <w:r>
              <w:rPr>
                <w:rStyle w:val="18"/>
                <w:rFonts w:eastAsia="仿宋_GB2312"/>
                <w:lang w:eastAsia="zh-CN"/>
              </w:rPr>
              <w:t>”</w:t>
            </w:r>
            <w:r>
              <w:rPr>
                <w:rStyle w:val="17"/>
                <w:rFonts w:ascii="Times New Roman"/>
                <w:lang w:eastAsia="zh-CN"/>
              </w:rPr>
              <w:t>支出总额）</w:t>
            </w:r>
            <w:r>
              <w:rPr>
                <w:rStyle w:val="18"/>
                <w:rFonts w:eastAsia="仿宋_GB2312"/>
                <w:lang w:eastAsia="zh-CN"/>
              </w:rPr>
              <w:t>/</w:t>
            </w:r>
            <w:r>
              <w:rPr>
                <w:rStyle w:val="17"/>
                <w:rFonts w:ascii="Times New Roman"/>
                <w:lang w:eastAsia="zh-CN"/>
              </w:rPr>
              <w:t>上年度</w:t>
            </w:r>
            <w:r>
              <w:rPr>
                <w:rStyle w:val="18"/>
                <w:rFonts w:eastAsia="仿宋_GB2312"/>
                <w:lang w:eastAsia="zh-CN"/>
              </w:rPr>
              <w:t>“</w:t>
            </w:r>
            <w:r>
              <w:rPr>
                <w:rStyle w:val="17"/>
                <w:rFonts w:ascii="Times New Roman"/>
                <w:lang w:eastAsia="zh-CN"/>
              </w:rPr>
              <w:t>三公经费</w:t>
            </w:r>
            <w:r>
              <w:rPr>
                <w:rStyle w:val="18"/>
                <w:rFonts w:eastAsia="仿宋_GB2312"/>
                <w:lang w:eastAsia="zh-CN"/>
              </w:rPr>
              <w:t>”</w:t>
            </w:r>
            <w:r>
              <w:rPr>
                <w:rStyle w:val="17"/>
                <w:rFonts w:ascii="Times New Roman"/>
                <w:lang w:eastAsia="zh-CN"/>
              </w:rPr>
              <w:t>支出总额</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结转结余变动率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8"/>
                <w:rFonts w:eastAsia="仿宋_GB2312"/>
                <w:lang w:eastAsia="zh-CN"/>
              </w:rPr>
              <w:t>≤0</w:t>
            </w:r>
            <w:r>
              <w:rPr>
                <w:rStyle w:val="17"/>
                <w:rFonts w:ascii="Times New Roman"/>
                <w:lang w:eastAsia="zh-CN"/>
              </w:rPr>
              <w:t>　</w:t>
            </w:r>
          </w:p>
        </w:tc>
        <w:tc>
          <w:tcPr>
            <w:tcW w:w="784" w:type="dxa"/>
            <w:tcMar>
              <w:top w:w="12" w:type="dxa"/>
              <w:left w:w="12" w:type="dxa"/>
              <w:right w:w="12" w:type="dxa"/>
            </w:tcMar>
            <w:vAlign w:val="center"/>
          </w:tcPr>
          <w:p>
            <w:pPr>
              <w:jc w:val="center"/>
              <w:rPr>
                <w:rFonts w:eastAsia="仿宋_GB2312"/>
                <w:color w:val="000000"/>
                <w:sz w:val="18"/>
                <w:szCs w:val="18"/>
              </w:rPr>
            </w:pPr>
            <w:r>
              <w:rPr>
                <w:rStyle w:val="18"/>
                <w:rFonts w:eastAsia="仿宋_GB2312"/>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7"/>
                <w:rFonts w:ascii="Times New Roman"/>
                <w:lang w:eastAsia="zh-CN"/>
              </w:rPr>
              <w:t>结转结余变动率</w:t>
            </w:r>
            <w:r>
              <w:rPr>
                <w:rStyle w:val="18"/>
                <w:rFonts w:eastAsia="仿宋_GB2312"/>
                <w:lang w:eastAsia="zh-CN"/>
              </w:rPr>
              <w:t>=</w:t>
            </w:r>
            <w:r>
              <w:rPr>
                <w:rStyle w:val="17"/>
                <w:rFonts w:ascii="Times New Roman"/>
                <w:lang w:eastAsia="zh-CN"/>
              </w:rPr>
              <w:t>（本年度累计结转结余资金总额</w:t>
            </w:r>
            <w:r>
              <w:rPr>
                <w:rStyle w:val="18"/>
                <w:rFonts w:eastAsia="仿宋_GB2312"/>
                <w:lang w:eastAsia="zh-CN"/>
              </w:rPr>
              <w:t>-</w:t>
            </w:r>
            <w:r>
              <w:rPr>
                <w:rStyle w:val="17"/>
                <w:rFonts w:ascii="Times New Roman"/>
                <w:lang w:eastAsia="zh-CN"/>
              </w:rPr>
              <w:t>上年度累计结转结余资金总额）</w:t>
            </w:r>
            <w:r>
              <w:rPr>
                <w:rStyle w:val="18"/>
                <w:rFonts w:eastAsia="仿宋_GB2312"/>
                <w:lang w:eastAsia="zh-CN"/>
              </w:rPr>
              <w:t>/</w:t>
            </w:r>
            <w:r>
              <w:rPr>
                <w:rStyle w:val="17"/>
                <w:rFonts w:ascii="Times New Roman"/>
                <w:lang w:eastAsia="zh-CN"/>
              </w:rPr>
              <w:t>上年度累计结转结余资金总额</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17"/>
                <w:rFonts w:ascii="Times New Roman"/>
                <w:lang w:eastAsia="zh-CN"/>
              </w:rPr>
              <w:t>部门管理（</w:t>
            </w:r>
            <w:r>
              <w:rPr>
                <w:rStyle w:val="18"/>
                <w:rFonts w:eastAsia="仿宋_GB2312"/>
                <w:lang w:eastAsia="zh-CN"/>
              </w:rPr>
              <w:t>40</w:t>
            </w:r>
            <w:r>
              <w:rPr>
                <w:rStyle w:val="17"/>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问题资金占比</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Fonts w:eastAsia="仿宋_GB2312"/>
                <w:color w:val="000000"/>
                <w:sz w:val="18"/>
                <w:szCs w:val="18"/>
                <w:lang w:eastAsia="zh-CN"/>
              </w:rPr>
              <w:t>问题资金占比</w:t>
            </w:r>
            <w:r>
              <w:rPr>
                <w:rStyle w:val="18"/>
                <w:rFonts w:eastAsia="仿宋_GB2312"/>
                <w:lang w:eastAsia="zh-CN"/>
              </w:rPr>
              <w:t>=</w:t>
            </w:r>
            <w:r>
              <w:rPr>
                <w:rStyle w:val="17"/>
                <w:rFonts w:ascii="Times New Roman"/>
                <w:lang w:eastAsia="zh-CN"/>
              </w:rPr>
              <w:t>有问题资金额</w:t>
            </w:r>
            <w:r>
              <w:rPr>
                <w:rStyle w:val="18"/>
                <w:rFonts w:eastAsia="仿宋_GB2312"/>
                <w:lang w:eastAsia="zh-CN"/>
              </w:rPr>
              <w:t>/</w:t>
            </w:r>
            <w:r>
              <w:rPr>
                <w:rStyle w:val="17"/>
                <w:rFonts w:ascii="Times New Roman"/>
                <w:lang w:eastAsia="zh-CN"/>
              </w:rPr>
              <w:t>部门支出决算数。</w:t>
            </w:r>
          </w:p>
          <w:p>
            <w:pPr>
              <w:jc w:val="both"/>
              <w:textAlignment w:val="center"/>
              <w:rPr>
                <w:rFonts w:eastAsia="仿宋_GB2312"/>
                <w:sz w:val="18"/>
                <w:szCs w:val="18"/>
                <w:lang w:eastAsia="zh-CN"/>
              </w:rPr>
            </w:pPr>
            <w:r>
              <w:rPr>
                <w:rStyle w:val="17"/>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采购</w:t>
            </w:r>
          </w:p>
          <w:p>
            <w:pPr>
              <w:jc w:val="center"/>
              <w:textAlignment w:val="center"/>
              <w:rPr>
                <w:rFonts w:eastAsia="仿宋_GB2312"/>
                <w:color w:val="000000"/>
                <w:sz w:val="18"/>
                <w:szCs w:val="18"/>
              </w:rPr>
            </w:pPr>
            <w:r>
              <w:rPr>
                <w:rStyle w:val="1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政府采购执行率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Style w:val="17"/>
                <w:rFonts w:ascii="Times New Roman"/>
                <w:lang w:eastAsia="zh-CN"/>
              </w:rPr>
              <w:t>政府采购执行率</w:t>
            </w:r>
            <w:r>
              <w:rPr>
                <w:rStyle w:val="18"/>
                <w:rFonts w:eastAsia="仿宋_GB2312"/>
                <w:lang w:eastAsia="zh-CN"/>
              </w:rPr>
              <w:t>=</w:t>
            </w:r>
            <w:r>
              <w:rPr>
                <w:rStyle w:val="17"/>
                <w:rFonts w:ascii="Times New Roman"/>
                <w:lang w:eastAsia="zh-CN"/>
              </w:rPr>
              <w:t>（实际政府采购金额</w:t>
            </w:r>
            <w:r>
              <w:rPr>
                <w:rStyle w:val="18"/>
                <w:rFonts w:eastAsia="仿宋_GB2312"/>
                <w:lang w:eastAsia="zh-CN"/>
              </w:rPr>
              <w:t>/</w:t>
            </w:r>
            <w:r>
              <w:rPr>
                <w:rStyle w:val="17"/>
                <w:rFonts w:ascii="Times New Roman"/>
                <w:lang w:eastAsia="zh-CN"/>
              </w:rPr>
              <w:t>政府采购预算数）</w:t>
            </w:r>
            <w:r>
              <w:rPr>
                <w:rStyle w:val="18"/>
                <w:rFonts w:eastAsia="仿宋_GB2312"/>
                <w:lang w:eastAsia="zh-CN"/>
              </w:rPr>
              <w:t>×100%</w:t>
            </w:r>
            <w:r>
              <w:rPr>
                <w:rStyle w:val="17"/>
                <w:rFonts w:ascii="Times New Roman"/>
                <w:lang w:eastAsia="zh-CN"/>
              </w:rPr>
              <w:t>。</w:t>
            </w:r>
          </w:p>
          <w:p>
            <w:pPr>
              <w:jc w:val="both"/>
              <w:textAlignment w:val="center"/>
              <w:rPr>
                <w:rFonts w:eastAsia="仿宋_GB2312"/>
                <w:sz w:val="18"/>
                <w:szCs w:val="18"/>
                <w:lang w:eastAsia="zh-CN"/>
              </w:rPr>
            </w:pPr>
            <w:r>
              <w:rPr>
                <w:rStyle w:val="17"/>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资产</w:t>
            </w:r>
          </w:p>
          <w:p>
            <w:pPr>
              <w:jc w:val="center"/>
              <w:textAlignment w:val="center"/>
              <w:rPr>
                <w:rFonts w:eastAsia="仿宋_GB2312"/>
                <w:color w:val="000000"/>
                <w:sz w:val="18"/>
                <w:szCs w:val="18"/>
              </w:rPr>
            </w:pPr>
            <w:r>
              <w:rPr>
                <w:rStyle w:val="1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资产管理规范性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规范　</w:t>
            </w:r>
          </w:p>
        </w:tc>
        <w:tc>
          <w:tcPr>
            <w:tcW w:w="784" w:type="dxa"/>
            <w:tcMar>
              <w:top w:w="12" w:type="dxa"/>
              <w:left w:w="12" w:type="dxa"/>
              <w:right w:w="12" w:type="dxa"/>
            </w:tcMar>
            <w:vAlign w:val="center"/>
          </w:tcPr>
          <w:p>
            <w:pPr>
              <w:jc w:val="center"/>
              <w:rPr>
                <w:rFonts w:eastAsia="仿宋_GB2312"/>
                <w:color w:val="000000"/>
                <w:sz w:val="18"/>
                <w:szCs w:val="18"/>
              </w:rPr>
            </w:pPr>
            <w:r>
              <w:rPr>
                <w:rStyle w:val="17"/>
                <w:rFonts w:ascii="Times New Roman"/>
                <w:lang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Style w:val="17"/>
                <w:rFonts w:ascii="Times New Roman"/>
                <w:lang w:eastAsia="zh-CN"/>
              </w:rPr>
              <w:t>评价要点：</w:t>
            </w:r>
          </w:p>
          <w:p>
            <w:pPr>
              <w:jc w:val="both"/>
              <w:textAlignment w:val="center"/>
              <w:rPr>
                <w:rStyle w:val="18"/>
                <w:rFonts w:eastAsia="仿宋_GB2312"/>
                <w:lang w:eastAsia="zh-CN"/>
              </w:rPr>
            </w:pPr>
            <w:r>
              <w:rPr>
                <w:rStyle w:val="18"/>
                <w:rFonts w:eastAsia="仿宋_GB2312"/>
                <w:lang w:eastAsia="zh-CN"/>
              </w:rPr>
              <w:t xml:space="preserve">1.  </w:t>
            </w:r>
            <w:r>
              <w:rPr>
                <w:rStyle w:val="17"/>
                <w:rFonts w:ascii="Times New Roman"/>
                <w:lang w:eastAsia="zh-CN"/>
              </w:rPr>
              <w:t>按照资产管理要求，是否建章立制，并严格执行：资产配置、处置程序是否规范，标准是否合理，处置是否及时等；</w:t>
            </w:r>
          </w:p>
          <w:p>
            <w:pPr>
              <w:jc w:val="both"/>
              <w:textAlignment w:val="center"/>
              <w:rPr>
                <w:rStyle w:val="18"/>
                <w:rFonts w:eastAsia="仿宋_GB2312"/>
                <w:lang w:eastAsia="zh-CN"/>
              </w:rPr>
            </w:pPr>
            <w:r>
              <w:rPr>
                <w:rStyle w:val="18"/>
                <w:rFonts w:eastAsia="仿宋_GB2312"/>
                <w:lang w:eastAsia="zh-CN"/>
              </w:rPr>
              <w:t xml:space="preserve">2.  </w:t>
            </w:r>
            <w:r>
              <w:rPr>
                <w:rStyle w:val="17"/>
                <w:rFonts w:ascii="Times New Roman"/>
                <w:lang w:eastAsia="zh-CN"/>
              </w:rPr>
              <w:t>按会计制度要求，是否建立资产账目，实现与财务管理相结合；</w:t>
            </w:r>
          </w:p>
          <w:p>
            <w:pPr>
              <w:jc w:val="both"/>
              <w:textAlignment w:val="center"/>
              <w:rPr>
                <w:rStyle w:val="18"/>
                <w:rFonts w:eastAsia="仿宋_GB2312"/>
                <w:lang w:eastAsia="zh-CN"/>
              </w:rPr>
            </w:pPr>
            <w:r>
              <w:rPr>
                <w:rStyle w:val="18"/>
                <w:rFonts w:eastAsia="仿宋_GB2312"/>
                <w:lang w:eastAsia="zh-CN"/>
              </w:rPr>
              <w:t xml:space="preserve">3.  </w:t>
            </w:r>
            <w:r>
              <w:rPr>
                <w:rStyle w:val="17"/>
                <w:rFonts w:ascii="Times New Roman"/>
                <w:lang w:eastAsia="zh-CN"/>
              </w:rPr>
              <w:t>资产月报和年报是否按照时间要求，及时、准确、完整上报；</w:t>
            </w:r>
          </w:p>
          <w:p>
            <w:pPr>
              <w:jc w:val="both"/>
              <w:textAlignment w:val="center"/>
              <w:rPr>
                <w:rStyle w:val="18"/>
                <w:rFonts w:eastAsia="仿宋_GB2312"/>
                <w:lang w:eastAsia="zh-CN"/>
              </w:rPr>
            </w:pPr>
            <w:r>
              <w:rPr>
                <w:rStyle w:val="18"/>
                <w:rFonts w:eastAsia="仿宋_GB2312"/>
                <w:lang w:eastAsia="zh-CN"/>
              </w:rPr>
              <w:t>4.</w:t>
            </w:r>
            <w:r>
              <w:rPr>
                <w:rStyle w:val="17"/>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18"/>
                <w:rFonts w:eastAsia="仿宋_GB2312"/>
                <w:lang w:eastAsia="zh-CN"/>
              </w:rPr>
              <w:t>5.</w:t>
            </w:r>
            <w:r>
              <w:rPr>
                <w:rStyle w:val="17"/>
                <w:rFonts w:ascii="Times New Roman"/>
                <w:lang w:eastAsia="zh-CN"/>
              </w:rPr>
              <w:t>公务用车是否按照</w:t>
            </w:r>
            <w:r>
              <w:rPr>
                <w:rStyle w:val="18"/>
                <w:rFonts w:eastAsia="仿宋_GB2312"/>
                <w:lang w:eastAsia="zh-CN"/>
              </w:rPr>
              <w:t>“</w:t>
            </w:r>
            <w:r>
              <w:rPr>
                <w:rStyle w:val="17"/>
                <w:rFonts w:ascii="Times New Roman"/>
                <w:lang w:eastAsia="zh-CN"/>
              </w:rPr>
              <w:t>三化</w:t>
            </w:r>
            <w:r>
              <w:rPr>
                <w:rStyle w:val="18"/>
                <w:rFonts w:eastAsia="仿宋_GB2312"/>
                <w:lang w:eastAsia="zh-CN"/>
              </w:rPr>
              <w:t>”</w:t>
            </w:r>
            <w:r>
              <w:rPr>
                <w:rStyle w:val="17"/>
                <w:rFonts w:ascii="Times New Roman"/>
                <w:lang w:eastAsia="zh-CN"/>
              </w:rPr>
              <w:t>要求</w:t>
            </w:r>
            <w:r>
              <w:rPr>
                <w:rStyle w:val="18"/>
                <w:rFonts w:eastAsia="仿宋_GB2312"/>
                <w:lang w:eastAsia="zh-CN"/>
              </w:rPr>
              <w:t>,</w:t>
            </w:r>
            <w:r>
              <w:rPr>
                <w:rStyle w:val="17"/>
                <w:rFonts w:ascii="Times New Roman"/>
                <w:lang w:eastAsia="zh-CN"/>
              </w:rPr>
              <w:t>及时纳入</w:t>
            </w:r>
            <w:r>
              <w:rPr>
                <w:rStyle w:val="18"/>
                <w:rFonts w:eastAsia="仿宋_GB2312"/>
                <w:lang w:eastAsia="zh-CN"/>
              </w:rPr>
              <w:t>“</w:t>
            </w:r>
            <w:r>
              <w:rPr>
                <w:rStyle w:val="17"/>
                <w:rFonts w:ascii="Times New Roman"/>
                <w:lang w:eastAsia="zh-CN"/>
              </w:rPr>
              <w:t>全省一张网</w:t>
            </w:r>
            <w:r>
              <w:rPr>
                <w:rStyle w:val="18"/>
                <w:rFonts w:eastAsia="仿宋_GB2312"/>
                <w:lang w:eastAsia="zh-CN"/>
              </w:rPr>
              <w:t>”</w:t>
            </w:r>
            <w:r>
              <w:rPr>
                <w:rStyle w:val="17"/>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人员</w:t>
            </w:r>
          </w:p>
          <w:p>
            <w:pPr>
              <w:jc w:val="center"/>
              <w:textAlignment w:val="center"/>
              <w:rPr>
                <w:rFonts w:eastAsia="仿宋_GB2312"/>
                <w:color w:val="000000"/>
                <w:sz w:val="18"/>
                <w:szCs w:val="18"/>
              </w:rPr>
            </w:pPr>
            <w:r>
              <w:rPr>
                <w:rStyle w:val="1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在职人员控制率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7"/>
                <w:rFonts w:ascii="Times New Roman"/>
                <w:lang w:eastAsia="zh-CN"/>
              </w:rPr>
              <w:t>在职人员控制率</w:t>
            </w:r>
            <w:r>
              <w:rPr>
                <w:rStyle w:val="18"/>
                <w:rFonts w:eastAsia="仿宋_GB2312"/>
                <w:lang w:eastAsia="zh-CN"/>
              </w:rPr>
              <w:t>=</w:t>
            </w:r>
            <w:r>
              <w:rPr>
                <w:rStyle w:val="17"/>
                <w:rFonts w:ascii="Times New Roman"/>
                <w:lang w:eastAsia="zh-CN"/>
              </w:rPr>
              <w:t>（在职人员数</w:t>
            </w:r>
            <w:r>
              <w:rPr>
                <w:rStyle w:val="18"/>
                <w:rFonts w:eastAsia="仿宋_GB2312"/>
                <w:lang w:eastAsia="zh-CN"/>
              </w:rPr>
              <w:t>/</w:t>
            </w:r>
            <w:r>
              <w:rPr>
                <w:rStyle w:val="17"/>
                <w:rFonts w:ascii="Times New Roman"/>
                <w:lang w:eastAsia="zh-CN"/>
              </w:rPr>
              <w:t>编制数）</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信息</w:t>
            </w:r>
          </w:p>
          <w:p>
            <w:pPr>
              <w:jc w:val="center"/>
              <w:textAlignment w:val="center"/>
              <w:rPr>
                <w:rFonts w:eastAsia="仿宋_GB2312"/>
                <w:color w:val="000000"/>
                <w:sz w:val="18"/>
                <w:szCs w:val="18"/>
              </w:rPr>
            </w:pPr>
            <w:r>
              <w:rPr>
                <w:rStyle w:val="1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预决算信息公开性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17"/>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Style w:val="17"/>
                <w:rFonts w:ascii="Times New Roman"/>
                <w:lang w:eastAsia="zh-CN"/>
              </w:rPr>
              <w:t>评价要点：</w:t>
            </w:r>
          </w:p>
          <w:p>
            <w:pPr>
              <w:jc w:val="both"/>
              <w:textAlignment w:val="center"/>
              <w:rPr>
                <w:rStyle w:val="18"/>
                <w:rFonts w:eastAsia="仿宋_GB2312"/>
                <w:lang w:eastAsia="zh-CN"/>
              </w:rPr>
            </w:pPr>
            <w:r>
              <w:rPr>
                <w:rStyle w:val="18"/>
                <w:rFonts w:eastAsia="仿宋_GB2312"/>
                <w:lang w:eastAsia="zh-CN"/>
              </w:rPr>
              <w:t>1.</w:t>
            </w:r>
            <w:r>
              <w:rPr>
                <w:rStyle w:val="17"/>
                <w:rFonts w:ascii="Times New Roman"/>
                <w:lang w:eastAsia="zh-CN"/>
              </w:rPr>
              <w:t>是否按规定内容公开预决算信息；</w:t>
            </w:r>
          </w:p>
          <w:p>
            <w:pPr>
              <w:jc w:val="both"/>
              <w:textAlignment w:val="center"/>
              <w:rPr>
                <w:rFonts w:eastAsia="仿宋_GB2312"/>
                <w:sz w:val="18"/>
                <w:szCs w:val="18"/>
                <w:lang w:eastAsia="zh-CN"/>
              </w:rPr>
            </w:pPr>
            <w:r>
              <w:rPr>
                <w:rStyle w:val="18"/>
                <w:rFonts w:eastAsia="仿宋_GB2312"/>
                <w:lang w:eastAsia="zh-CN"/>
              </w:rPr>
              <w:t>2.</w:t>
            </w:r>
            <w:r>
              <w:rPr>
                <w:rStyle w:val="17"/>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绩效信息公开性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17"/>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18"/>
                <w:rFonts w:eastAsia="仿宋_GB2312"/>
                <w:lang w:eastAsia="zh-CN"/>
              </w:rPr>
            </w:pPr>
            <w:r>
              <w:rPr>
                <w:rFonts w:eastAsia="仿宋_GB2312"/>
                <w:color w:val="000000"/>
                <w:sz w:val="18"/>
                <w:szCs w:val="18"/>
                <w:lang w:eastAsia="zh-CN"/>
              </w:rPr>
              <w:t>评价要点：</w:t>
            </w:r>
          </w:p>
          <w:p>
            <w:pPr>
              <w:jc w:val="both"/>
              <w:textAlignment w:val="center"/>
              <w:rPr>
                <w:rStyle w:val="18"/>
                <w:rFonts w:eastAsia="仿宋_GB2312"/>
                <w:lang w:eastAsia="zh-CN"/>
              </w:rPr>
            </w:pPr>
            <w:r>
              <w:rPr>
                <w:rStyle w:val="18"/>
                <w:rFonts w:eastAsia="仿宋_GB2312"/>
                <w:lang w:eastAsia="zh-CN"/>
              </w:rPr>
              <w:t>1.</w:t>
            </w:r>
            <w:r>
              <w:rPr>
                <w:rStyle w:val="17"/>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18"/>
                <w:rFonts w:eastAsia="仿宋_GB2312"/>
                <w:lang w:eastAsia="zh-CN"/>
              </w:rPr>
              <w:t>2.</w:t>
            </w:r>
            <w:r>
              <w:rPr>
                <w:rStyle w:val="17"/>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部门管理（</w:t>
            </w:r>
            <w:r>
              <w:rPr>
                <w:rStyle w:val="18"/>
                <w:rFonts w:eastAsia="仿宋_GB2312"/>
                <w:lang w:eastAsia="zh-CN"/>
              </w:rPr>
              <w:t>40</w:t>
            </w:r>
            <w:r>
              <w:rPr>
                <w:rStyle w:val="17"/>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绩效</w:t>
            </w:r>
          </w:p>
          <w:p>
            <w:pPr>
              <w:jc w:val="center"/>
              <w:textAlignment w:val="center"/>
              <w:rPr>
                <w:rFonts w:eastAsia="仿宋_GB2312"/>
                <w:color w:val="000000"/>
                <w:sz w:val="18"/>
                <w:szCs w:val="18"/>
              </w:rPr>
            </w:pPr>
            <w:r>
              <w:rPr>
                <w:rStyle w:val="17"/>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绩效目标审核通过率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7"/>
                <w:rFonts w:ascii="Times New Roman"/>
                <w:lang w:eastAsia="zh-CN"/>
              </w:rPr>
              <w:t>绩效目标审核通过率</w:t>
            </w:r>
            <w:r>
              <w:rPr>
                <w:rStyle w:val="18"/>
                <w:rFonts w:eastAsia="仿宋_GB2312"/>
                <w:lang w:eastAsia="zh-CN"/>
              </w:rPr>
              <w:t>=</w:t>
            </w:r>
            <w:r>
              <w:rPr>
                <w:rStyle w:val="17"/>
                <w:rFonts w:ascii="Times New Roman"/>
                <w:lang w:eastAsia="zh-CN"/>
              </w:rPr>
              <w:t>（审核通过安排预算的专项项目数</w:t>
            </w:r>
            <w:r>
              <w:rPr>
                <w:rStyle w:val="18"/>
                <w:rFonts w:eastAsia="仿宋_GB2312"/>
                <w:lang w:eastAsia="zh-CN"/>
              </w:rPr>
              <w:t>/</w:t>
            </w:r>
            <w:r>
              <w:rPr>
                <w:rStyle w:val="17"/>
                <w:rFonts w:ascii="Times New Roman"/>
                <w:lang w:eastAsia="zh-CN"/>
              </w:rPr>
              <w:t>部门申报的专项项目数）</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绩效自评覆盖率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18"/>
                <w:rFonts w:eastAsia="仿宋_GB2312"/>
                <w:lang w:eastAsia="zh-CN"/>
              </w:rPr>
              <w:t>=</w:t>
            </w:r>
            <w:r>
              <w:rPr>
                <w:rStyle w:val="17"/>
                <w:rFonts w:ascii="Times New Roman"/>
                <w:lang w:eastAsia="zh-CN"/>
              </w:rPr>
              <w:t>（部门开展</w:t>
            </w:r>
            <w:r>
              <w:rPr>
                <w:rStyle w:val="18"/>
                <w:rFonts w:eastAsia="仿宋_GB2312"/>
                <w:lang w:eastAsia="zh-CN"/>
              </w:rPr>
              <w:t>2019</w:t>
            </w:r>
            <w:r>
              <w:rPr>
                <w:rStyle w:val="19"/>
                <w:rFonts w:hint="default" w:ascii="Times New Roman" w:hAnsi="Times New Roman" w:eastAsia="仿宋_GB2312"/>
                <w:lang w:eastAsia="zh-CN"/>
              </w:rPr>
              <w:t>年度</w:t>
            </w:r>
            <w:r>
              <w:rPr>
                <w:rStyle w:val="17"/>
                <w:rFonts w:ascii="Times New Roman"/>
                <w:lang w:eastAsia="zh-CN"/>
              </w:rPr>
              <w:t>专项项目自评的金额</w:t>
            </w:r>
            <w:r>
              <w:rPr>
                <w:rStyle w:val="18"/>
                <w:rFonts w:eastAsia="仿宋_GB2312"/>
                <w:lang w:eastAsia="zh-CN"/>
              </w:rPr>
              <w:t>/2019</w:t>
            </w:r>
            <w:r>
              <w:rPr>
                <w:rStyle w:val="19"/>
                <w:rFonts w:hint="default" w:ascii="Times New Roman" w:hAnsi="Times New Roman" w:eastAsia="仿宋_GB2312"/>
                <w:lang w:eastAsia="zh-CN"/>
              </w:rPr>
              <w:t>年度</w:t>
            </w:r>
            <w:r>
              <w:rPr>
                <w:rStyle w:val="17"/>
                <w:rFonts w:ascii="Times New Roman"/>
                <w:lang w:eastAsia="zh-CN"/>
              </w:rPr>
              <w:t>全部专项项目金额）</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部门产出（</w:t>
            </w:r>
            <w:r>
              <w:rPr>
                <w:rStyle w:val="18"/>
                <w:rFonts w:eastAsia="仿宋_GB2312"/>
                <w:lang w:eastAsia="zh-CN"/>
              </w:rPr>
              <w:t>40</w:t>
            </w:r>
            <w:r>
              <w:rPr>
                <w:rStyle w:val="17"/>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数</w:t>
            </w:r>
            <w:r>
              <w:rPr>
                <w:rStyle w:val="18"/>
                <w:rFonts w:eastAsia="仿宋_GB2312"/>
                <w:lang w:eastAsia="zh-CN"/>
              </w:rPr>
              <w:t xml:space="preserve">  </w:t>
            </w:r>
            <w:r>
              <w:rPr>
                <w:rStyle w:val="17"/>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重点工作实际完成率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18"/>
                <w:rFonts w:eastAsia="仿宋_GB2312"/>
                <w:lang w:eastAsia="zh-CN"/>
              </w:rPr>
              <w:t>=</w:t>
            </w:r>
            <w:r>
              <w:rPr>
                <w:rStyle w:val="17"/>
                <w:rFonts w:ascii="Times New Roman"/>
                <w:lang w:eastAsia="zh-CN"/>
              </w:rPr>
              <w:t>（实际完成工作数</w:t>
            </w:r>
            <w:r>
              <w:rPr>
                <w:rStyle w:val="18"/>
                <w:rFonts w:eastAsia="仿宋_GB2312"/>
                <w:lang w:eastAsia="zh-CN"/>
              </w:rPr>
              <w:t>/</w:t>
            </w:r>
            <w:r>
              <w:rPr>
                <w:rStyle w:val="19"/>
                <w:rFonts w:hint="default" w:ascii="Times New Roman" w:hAnsi="Times New Roman" w:eastAsia="仿宋_GB2312"/>
                <w:lang w:eastAsia="zh-CN"/>
              </w:rPr>
              <w:t>计划</w:t>
            </w:r>
            <w:r>
              <w:rPr>
                <w:rStyle w:val="17"/>
                <w:rFonts w:ascii="Times New Roman"/>
                <w:lang w:eastAsia="zh-CN"/>
              </w:rPr>
              <w:t>工作数）</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质</w:t>
            </w:r>
            <w:r>
              <w:rPr>
                <w:rStyle w:val="18"/>
                <w:rFonts w:eastAsia="仿宋_GB2312"/>
                <w:lang w:eastAsia="zh-CN"/>
              </w:rPr>
              <w:t xml:space="preserve">  </w:t>
            </w:r>
            <w:r>
              <w:rPr>
                <w:rStyle w:val="17"/>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重点工作质量达标率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7"/>
                <w:rFonts w:ascii="Times New Roman"/>
                <w:lang w:eastAsia="zh-CN"/>
              </w:rPr>
              <w:t>重点工作质量达标率</w:t>
            </w:r>
            <w:r>
              <w:rPr>
                <w:rStyle w:val="18"/>
                <w:rFonts w:eastAsia="仿宋_GB2312"/>
                <w:lang w:eastAsia="zh-CN"/>
              </w:rPr>
              <w:t>=</w:t>
            </w:r>
            <w:r>
              <w:rPr>
                <w:rStyle w:val="17"/>
                <w:rFonts w:ascii="Times New Roman"/>
                <w:lang w:eastAsia="zh-CN"/>
              </w:rPr>
              <w:t>（质量达标工作数</w:t>
            </w:r>
            <w:r>
              <w:rPr>
                <w:rStyle w:val="18"/>
                <w:rFonts w:eastAsia="仿宋_GB2312"/>
                <w:lang w:eastAsia="zh-CN"/>
              </w:rPr>
              <w:t>/</w:t>
            </w:r>
            <w:r>
              <w:rPr>
                <w:rStyle w:val="17"/>
                <w:rFonts w:ascii="Times New Roman"/>
                <w:lang w:eastAsia="zh-CN"/>
              </w:rPr>
              <w:t>实际工作数）</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重点工作完成及时率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18"/>
                <w:rFonts w:eastAsia="仿宋_GB2312"/>
                <w:lang w:eastAsia="zh-CN"/>
              </w:rPr>
              <w:t>=</w:t>
            </w:r>
            <w:r>
              <w:rPr>
                <w:rStyle w:val="17"/>
                <w:rFonts w:ascii="Times New Roman"/>
                <w:lang w:eastAsia="zh-CN"/>
              </w:rPr>
              <w:t>（及时完成工作数</w:t>
            </w:r>
            <w:r>
              <w:rPr>
                <w:rStyle w:val="18"/>
                <w:rFonts w:eastAsia="仿宋_GB2312"/>
                <w:lang w:eastAsia="zh-CN"/>
              </w:rPr>
              <w:t>/</w:t>
            </w:r>
            <w:r>
              <w:rPr>
                <w:rStyle w:val="17"/>
                <w:rFonts w:ascii="Times New Roman"/>
                <w:lang w:eastAsia="zh-CN"/>
              </w:rPr>
              <w:t>计划完成工作数）</w:t>
            </w:r>
            <w:r>
              <w:rPr>
                <w:rStyle w:val="18"/>
                <w:rFonts w:eastAsia="仿宋_GB2312"/>
                <w:lang w:eastAsia="zh-CN"/>
              </w:rPr>
              <w:t>×100%</w:t>
            </w:r>
            <w:r>
              <w:rPr>
                <w:rStyle w:val="17"/>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19"/>
                <w:rFonts w:hint="default" w:ascii="Times New Roman" w:hAnsi="Times New Roman" w:eastAsia="仿宋_GB2312"/>
                <w:lang w:eastAsia="zh-CN"/>
              </w:rPr>
              <w:t>得分</w:t>
            </w:r>
            <w:r>
              <w:rPr>
                <w:rStyle w:val="18"/>
                <w:rFonts w:eastAsia="仿宋_GB2312"/>
                <w:lang w:eastAsia="zh-CN"/>
              </w:rPr>
              <w:t>=</w:t>
            </w:r>
            <w:r>
              <w:rPr>
                <w:rStyle w:val="19"/>
                <w:rFonts w:hint="default" w:ascii="Times New Roman" w:hAnsi="Times New Roman" w:eastAsia="仿宋_GB2312"/>
                <w:lang w:eastAsia="zh-CN"/>
              </w:rPr>
              <w:t>重点工作完成及时率</w:t>
            </w:r>
            <w:r>
              <w:rPr>
                <w:rStyle w:val="18"/>
                <w:rFonts w:eastAsia="仿宋_GB2312"/>
                <w:lang w:eastAsia="zh-CN"/>
              </w:rPr>
              <w:t>*</w:t>
            </w:r>
            <w:r>
              <w:rPr>
                <w:rStyle w:val="19"/>
                <w:rFonts w:hint="default" w:ascii="Times New Roman" w:hAnsi="Times New Roman" w:eastAsia="仿宋_GB2312"/>
                <w:lang w:eastAsia="zh-CN"/>
              </w:rPr>
              <w:t>权重。</w:t>
            </w:r>
            <w:r>
              <w:rPr>
                <w:rStyle w:val="18"/>
                <w:rFonts w:eastAsia="仿宋_GB2312"/>
                <w:lang w:eastAsia="zh-CN"/>
              </w:rPr>
              <w:t xml:space="preserve">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1"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成　本</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一般性支出压减率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7"/>
                <w:rFonts w:ascii="Times New Roman"/>
                <w:lang w:eastAsia="zh-CN"/>
              </w:rPr>
              <w:t>一般性支出压减情况</w:t>
            </w:r>
            <w:r>
              <w:rPr>
                <w:rStyle w:val="18"/>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8"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部门效果（</w:t>
            </w:r>
            <w:r>
              <w:rPr>
                <w:rStyle w:val="18"/>
                <w:rFonts w:eastAsia="仿宋_GB2312"/>
                <w:lang w:eastAsia="zh-CN"/>
              </w:rPr>
              <w:t>20</w:t>
            </w:r>
            <w:r>
              <w:rPr>
                <w:rStyle w:val="17"/>
                <w:rFonts w:ascii="Times New Roman"/>
                <w:lang w:eastAsia="zh-CN"/>
              </w:rPr>
              <w:t>分）</w:t>
            </w:r>
          </w:p>
        </w:tc>
        <w:tc>
          <w:tcPr>
            <w:tcW w:w="534" w:type="dxa"/>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经济</w:t>
            </w:r>
          </w:p>
          <w:p>
            <w:pPr>
              <w:jc w:val="center"/>
              <w:textAlignment w:val="center"/>
              <w:rPr>
                <w:rFonts w:eastAsia="仿宋_GB2312"/>
                <w:color w:val="000000"/>
                <w:sz w:val="18"/>
                <w:szCs w:val="18"/>
              </w:rPr>
            </w:pPr>
            <w:r>
              <w:rPr>
                <w:rStyle w:val="17"/>
                <w:rFonts w:ascii="Times New Roman"/>
                <w:lang w:eastAsia="zh-CN"/>
              </w:rPr>
              <w:t>效益</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引进项目，推动全县经济发展</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eastAsia="仿宋_GB2312"/>
                <w:color w:val="000000"/>
                <w:sz w:val="18"/>
                <w:szCs w:val="18"/>
                <w:lang w:eastAsia="zh-CN"/>
              </w:rPr>
              <w:t>≥</w:t>
            </w:r>
            <w:r>
              <w:rPr>
                <w:rFonts w:hint="eastAsia" w:eastAsia="仿宋_GB2312"/>
                <w:color w:val="000000"/>
                <w:sz w:val="18"/>
                <w:szCs w:val="18"/>
                <w:lang w:val="en-US" w:eastAsia="zh-CN"/>
              </w:rPr>
              <w:t>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w:t>
            </w: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部门自行提供</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18"/>
                <w:rFonts w:eastAsia="仿宋_GB2312"/>
                <w:lang w:eastAsia="zh-CN"/>
              </w:rPr>
              <w:t>5</w:t>
            </w:r>
            <w:r>
              <w:rPr>
                <w:rStyle w:val="17"/>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1" w:hRule="atLeast"/>
        </w:trPr>
        <w:tc>
          <w:tcPr>
            <w:tcW w:w="838" w:type="dxa"/>
            <w:vMerge w:val="continue"/>
            <w:tcMar>
              <w:top w:w="12" w:type="dxa"/>
              <w:left w:w="12" w:type="dxa"/>
              <w:right w:w="12" w:type="dxa"/>
            </w:tcMar>
            <w:vAlign w:val="center"/>
          </w:tcPr>
          <w:p>
            <w:pPr>
              <w:jc w:val="center"/>
              <w:textAlignment w:val="center"/>
              <w:rPr>
                <w:rStyle w:val="17"/>
                <w:rFonts w:ascii="Times New Roman"/>
                <w:lang w:eastAsia="zh-CN"/>
              </w:rPr>
            </w:pPr>
          </w:p>
        </w:tc>
        <w:tc>
          <w:tcPr>
            <w:tcW w:w="534" w:type="dxa"/>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社会</w:t>
            </w:r>
          </w:p>
          <w:p>
            <w:pPr>
              <w:jc w:val="center"/>
              <w:textAlignment w:val="center"/>
              <w:rPr>
                <w:rFonts w:eastAsia="仿宋_GB2312"/>
                <w:color w:val="000000"/>
                <w:sz w:val="18"/>
                <w:szCs w:val="18"/>
              </w:rPr>
            </w:pPr>
            <w:r>
              <w:rPr>
                <w:rStyle w:val="17"/>
                <w:rFonts w:ascii="Times New Roman"/>
                <w:lang w:eastAsia="zh-CN"/>
              </w:rPr>
              <w:t>效益</w:t>
            </w:r>
          </w:p>
          <w:p>
            <w:pPr>
              <w:jc w:val="center"/>
              <w:textAlignment w:val="center"/>
              <w:rPr>
                <w:rStyle w:val="17"/>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通过开展活动，</w:t>
            </w:r>
            <w:r>
              <w:rPr>
                <w:rFonts w:hint="eastAsia" w:ascii="仿宋" w:hAnsi="仿宋" w:eastAsia="仿宋" w:cs="仿宋"/>
                <w:sz w:val="18"/>
                <w:szCs w:val="18"/>
                <w:lang w:val="en-US" w:eastAsia="zh-CN"/>
              </w:rPr>
              <w:t>营造浓厚的便商重商亲商社会氛围</w:t>
            </w:r>
          </w:p>
        </w:tc>
        <w:tc>
          <w:tcPr>
            <w:tcW w:w="665"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w:t>
            </w:r>
            <w:r>
              <w:rPr>
                <w:rFonts w:hint="eastAsia" w:eastAsia="仿宋_GB2312"/>
                <w:color w:val="000000"/>
                <w:sz w:val="18"/>
                <w:szCs w:val="18"/>
                <w:lang w:val="en-US" w:eastAsia="zh-CN"/>
              </w:rPr>
              <w:t>5</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5</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17"/>
                <w:rFonts w:ascii="Times New Roman"/>
                <w:lang w:eastAsia="zh-CN"/>
              </w:rPr>
            </w:pPr>
          </w:p>
        </w:tc>
        <w:tc>
          <w:tcPr>
            <w:tcW w:w="534" w:type="dxa"/>
            <w:tcMar>
              <w:top w:w="12" w:type="dxa"/>
              <w:left w:w="12" w:type="dxa"/>
              <w:right w:w="12" w:type="dxa"/>
            </w:tcMar>
            <w:vAlign w:val="center"/>
          </w:tcPr>
          <w:p>
            <w:pPr>
              <w:jc w:val="center"/>
              <w:textAlignment w:val="center"/>
              <w:rPr>
                <w:rStyle w:val="18"/>
                <w:rFonts w:eastAsia="仿宋_GB2312"/>
                <w:lang w:eastAsia="zh-CN"/>
              </w:rPr>
            </w:pPr>
            <w:r>
              <w:rPr>
                <w:rStyle w:val="17"/>
                <w:rFonts w:ascii="Times New Roman"/>
                <w:lang w:eastAsia="zh-CN"/>
              </w:rPr>
              <w:t>生态</w:t>
            </w:r>
          </w:p>
          <w:p>
            <w:pPr>
              <w:jc w:val="center"/>
              <w:textAlignment w:val="center"/>
              <w:rPr>
                <w:rStyle w:val="17"/>
                <w:rFonts w:ascii="Times New Roman"/>
                <w:lang w:eastAsia="zh-CN"/>
              </w:rPr>
            </w:pPr>
            <w:r>
              <w:rPr>
                <w:rStyle w:val="17"/>
                <w:rFonts w:ascii="Times New Roman"/>
                <w:lang w:eastAsia="zh-CN"/>
              </w:rPr>
              <w:t>效益</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保障电代煤工程开展对保护环境积极有效</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eastAsia="仿宋_GB2312"/>
                <w:color w:val="000000"/>
                <w:sz w:val="18"/>
                <w:szCs w:val="18"/>
                <w:lang w:eastAsia="zh-CN"/>
              </w:rPr>
              <w:t>≥</w:t>
            </w:r>
            <w:r>
              <w:rPr>
                <w:rFonts w:hint="eastAsia" w:eastAsia="仿宋_GB2312"/>
                <w:color w:val="000000"/>
                <w:sz w:val="18"/>
                <w:szCs w:val="18"/>
                <w:lang w:val="en-US" w:eastAsia="zh-CN"/>
              </w:rPr>
              <w:t>30000户</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30708户</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部门效果（</w:t>
            </w:r>
            <w:r>
              <w:rPr>
                <w:rStyle w:val="18"/>
                <w:rFonts w:eastAsia="仿宋_GB2312"/>
                <w:lang w:eastAsia="zh-CN"/>
              </w:rPr>
              <w:t>20</w:t>
            </w:r>
            <w:r>
              <w:rPr>
                <w:rStyle w:val="17"/>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满意度</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受益群体满意度</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90%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17"/>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center"/>
          </w:tcPr>
          <w:p>
            <w:pPr>
              <w:spacing w:line="640" w:lineRule="atLeast"/>
              <w:ind w:firstLine="1260" w:firstLineChars="700"/>
              <w:jc w:val="both"/>
              <w:rPr>
                <w:rFonts w:eastAsia="仿宋_GB2312"/>
                <w:color w:val="000000"/>
                <w:sz w:val="18"/>
                <w:szCs w:val="18"/>
              </w:rPr>
            </w:pPr>
            <w:r>
              <w:rPr>
                <w:rFonts w:ascii="仿宋_GB2312" w:hAnsi="Tahoma" w:eastAsia="仿宋_GB2312" w:cs="Tahoma"/>
                <w:kern w:val="0"/>
                <w:sz w:val="18"/>
                <w:szCs w:val="18"/>
              </w:rPr>
              <w:t>项目绩效评价综合得分平均为</w:t>
            </w:r>
            <w:r>
              <w:rPr>
                <w:rFonts w:hint="eastAsia" w:ascii="仿宋_GB2312" w:hAnsi="Tahoma" w:eastAsia="仿宋_GB2312" w:cs="Tahoma"/>
                <w:kern w:val="0"/>
                <w:sz w:val="18"/>
                <w:szCs w:val="18"/>
                <w:lang w:val="en-US" w:eastAsia="zh-CN"/>
              </w:rPr>
              <w:t>99.99</w:t>
            </w:r>
            <w:r>
              <w:rPr>
                <w:rFonts w:hint="eastAsia" w:ascii="仿宋_GB2312" w:hAnsi="Tahoma" w:eastAsia="仿宋_GB2312" w:cs="Tahoma"/>
                <w:kern w:val="0"/>
                <w:sz w:val="18"/>
                <w:szCs w:val="18"/>
              </w:rPr>
              <w:t>分</w:t>
            </w:r>
            <w:r>
              <w:rPr>
                <w:rFonts w:ascii="仿宋_GB2312" w:hAnsi="Tahoma" w:eastAsia="仿宋_GB2312" w:cs="Tahoma"/>
                <w:kern w:val="0"/>
                <w:sz w:val="18"/>
                <w:szCs w:val="18"/>
              </w:rPr>
              <w:t>，绩效评价综合等级为</w:t>
            </w:r>
            <w:r>
              <w:rPr>
                <w:rFonts w:hint="eastAsia" w:ascii="仿宋_GB2312" w:hAnsi="Tahoma" w:eastAsia="仿宋_GB2312" w:cs="Tahoma"/>
                <w:kern w:val="0"/>
                <w:sz w:val="18"/>
                <w:szCs w:val="18"/>
              </w:rPr>
              <w:t>优</w:t>
            </w:r>
            <w:r>
              <w:rPr>
                <w:rFonts w:ascii="仿宋_GB2312" w:hAnsi="Tahoma" w:eastAsia="仿宋_GB2312" w:cs="Tahom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全部指标均已完成。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ascii="仿宋" w:hAnsi="仿宋" w:eastAsia="仿宋" w:cs="仿宋"/>
                <w:color w:val="000000"/>
                <w:kern w:val="0"/>
                <w:sz w:val="18"/>
                <w:szCs w:val="18"/>
                <w:lang w:val="en-US" w:eastAsia="zh-CN"/>
              </w:rPr>
              <w:t>离退休及下岗工人政策性补贴项目少量剩余。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预算时有误差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color w:val="000000" w:themeColor="text1"/>
                <w:kern w:val="0"/>
                <w:sz w:val="18"/>
                <w:szCs w:val="18"/>
                <w:lang w:val="en-US" w:eastAsia="zh-CN" w:bidi="ar"/>
              </w:rPr>
              <w:t>完善绩效评价工作制度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color w:val="000000" w:themeColor="text1"/>
                <w:kern w:val="0"/>
                <w:sz w:val="18"/>
                <w:szCs w:val="18"/>
                <w:lang w:val="en-US" w:eastAsia="zh-CN" w:bidi="ar"/>
              </w:rPr>
              <w:t>加强学习培训，提升业务能力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color w:val="000000" w:themeColor="text1"/>
                <w:kern w:val="0"/>
                <w:sz w:val="18"/>
                <w:szCs w:val="18"/>
                <w:lang w:val="en-US" w:eastAsia="zh-CN" w:bidi="ar"/>
              </w:rPr>
              <w:t>加大宣传力度，树立绩效管理概念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pgBorders>
            <w:top w:val="none" w:sz="0" w:space="0"/>
            <w:left w:val="none" w:sz="0" w:space="0"/>
            <w:bottom w:val="none" w:sz="0" w:space="0"/>
            <w:right w:val="none" w:sz="0" w:space="0"/>
          </w:pgBorders>
          <w:cols w:space="720" w:num="1"/>
          <w:docGrid w:linePitch="360" w:charSpace="0"/>
        </w:sectPr>
      </w:pPr>
    </w:p>
    <w:p>
      <w:pPr>
        <w:pStyle w:val="2"/>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楷体_GB2312"/>
          <w:b/>
          <w:bCs/>
          <w:sz w:val="32"/>
          <w:szCs w:val="32"/>
          <w:lang w:val="zh-CN" w:eastAsia="zh-CN"/>
        </w:rPr>
      </w:pPr>
      <w:r>
        <w:rPr>
          <w:rFonts w:hint="eastAsia" w:eastAsia="楷体_GB2312"/>
          <w:b/>
          <w:bCs/>
          <w:sz w:val="32"/>
          <w:szCs w:val="32"/>
          <w:lang w:val="zh-CN" w:eastAsia="zh-CN"/>
        </w:rPr>
        <w:t>（参考格式）</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hint="default" w:eastAsia="仿宋_GB2312"/>
          <w:sz w:val="30"/>
          <w:szCs w:val="30"/>
          <w:lang w:val="en-US" w:eastAsia="zh-CN"/>
        </w:rPr>
      </w:pPr>
      <w:r>
        <w:rPr>
          <w:rFonts w:hint="eastAsia" w:eastAsia="仿宋_GB2312"/>
          <w:sz w:val="30"/>
          <w:szCs w:val="30"/>
          <w:lang w:eastAsia="zh-CN"/>
        </w:rPr>
        <w:t>部门（单位）名称：</w:t>
      </w:r>
      <w:r>
        <w:rPr>
          <w:rFonts w:hint="eastAsia" w:eastAsia="仿宋_GB2312"/>
          <w:sz w:val="30"/>
          <w:szCs w:val="30"/>
          <w:lang w:val="en-US" w:eastAsia="zh-CN"/>
        </w:rPr>
        <w:t>香河县发展和改革局</w:t>
      </w: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主管部门：</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val="en-US" w:eastAsia="zh-CN"/>
        </w:rPr>
        <w:t>2020</w:t>
      </w:r>
      <w:r>
        <w:rPr>
          <w:rFonts w:hint="eastAsia" w:eastAsia="仿宋_GB2312"/>
          <w:sz w:val="30"/>
          <w:szCs w:val="30"/>
          <w:lang w:eastAsia="zh-CN"/>
        </w:rPr>
        <w:t>年</w:t>
      </w:r>
      <w:r>
        <w:rPr>
          <w:rFonts w:hint="eastAsia" w:eastAsia="仿宋_GB2312"/>
          <w:sz w:val="30"/>
          <w:szCs w:val="30"/>
          <w:lang w:val="en-US" w:eastAsia="zh-CN"/>
        </w:rPr>
        <w:t>11</w:t>
      </w:r>
      <w:r>
        <w:rPr>
          <w:rFonts w:hint="eastAsia" w:eastAsia="仿宋_GB2312"/>
          <w:sz w:val="30"/>
          <w:szCs w:val="30"/>
          <w:lang w:eastAsia="zh-CN"/>
        </w:rPr>
        <w:t>月</w:t>
      </w:r>
      <w:r>
        <w:rPr>
          <w:rFonts w:hint="eastAsia" w:eastAsia="仿宋_GB2312"/>
          <w:sz w:val="30"/>
          <w:szCs w:val="30"/>
          <w:lang w:val="en-US" w:eastAsia="zh-CN"/>
        </w:rPr>
        <w:t>24</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autoSpaceDE w:val="0"/>
        <w:autoSpaceDN w:val="0"/>
        <w:adjustRightInd w:val="0"/>
        <w:spacing w:line="500" w:lineRule="exact"/>
        <w:ind w:firstLine="640" w:firstLineChars="200"/>
        <w:rPr>
          <w:rFonts w:ascii="黑体" w:eastAsia="黑体"/>
          <w:bCs/>
          <w:sz w:val="32"/>
          <w:szCs w:val="32"/>
          <w:lang w:eastAsia="zh-CN"/>
        </w:rPr>
      </w:pPr>
      <w:r>
        <w:rPr>
          <w:rFonts w:hint="eastAsia" w:ascii="黑体" w:eastAsia="黑体"/>
          <w:bCs/>
          <w:sz w:val="32"/>
          <w:szCs w:val="32"/>
          <w:lang w:eastAsia="zh-CN"/>
        </w:rPr>
        <w:t>摘要</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autoSpaceDE w:val="0"/>
        <w:autoSpaceDN w:val="0"/>
        <w:adjustRightInd w:val="0"/>
        <w:spacing w:line="500" w:lineRule="exact"/>
        <w:ind w:firstLine="640" w:firstLineChars="200"/>
        <w:rPr>
          <w:rFonts w:eastAsia="仿宋_GB2312"/>
          <w:sz w:val="32"/>
          <w:szCs w:val="32"/>
          <w:lang w:eastAsia="zh-CN"/>
        </w:rPr>
      </w:pPr>
      <w:r>
        <w:rPr>
          <w:rFonts w:hint="eastAsia" w:ascii="黑体" w:eastAsia="黑体"/>
          <w:bCs/>
          <w:sz w:val="32"/>
          <w:szCs w:val="32"/>
          <w:lang w:eastAsia="zh-CN"/>
        </w:rPr>
        <w:t>前言</w:t>
      </w:r>
    </w:p>
    <w:p>
      <w:pPr>
        <w:autoSpaceDE w:val="0"/>
        <w:autoSpaceDN w:val="0"/>
        <w:adjustRightInd w:val="0"/>
        <w:spacing w:line="500" w:lineRule="exact"/>
        <w:ind w:firstLine="643" w:firstLineChars="200"/>
        <w:rPr>
          <w:rFonts w:ascii="黑体" w:eastAsia="黑体"/>
          <w:bCs/>
          <w:sz w:val="32"/>
          <w:szCs w:val="32"/>
          <w:lang w:eastAsia="zh-CN"/>
        </w:rPr>
      </w:pPr>
      <w:r>
        <w:rPr>
          <w:rFonts w:eastAsia="仿宋_GB2312"/>
          <w:b/>
          <w:bCs/>
          <w:sz w:val="32"/>
          <w:szCs w:val="32"/>
          <w:lang w:eastAsia="zh-CN"/>
        </w:rPr>
        <w:t>一、部门（单位）概况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eastAsia="仿宋_GB2312"/>
          <w:sz w:val="32"/>
          <w:szCs w:val="32"/>
          <w:lang w:eastAsia="zh-CN"/>
        </w:rPr>
        <w:t>部门（单位）主要职责职能，组织架构、人员及资产等基本情况。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sz w:val="32"/>
          <w:szCs w:val="32"/>
          <w:lang w:val="en-US" w:eastAsia="zh-CN"/>
        </w:rPr>
      </w:pPr>
      <w:r>
        <w:rPr>
          <w:rFonts w:hint="eastAsia" w:ascii="仿宋" w:hAnsi="仿宋" w:eastAsia="仿宋" w:cs="仿宋"/>
          <w:sz w:val="32"/>
          <w:szCs w:val="32"/>
          <w:lang w:eastAsia="zh-CN"/>
        </w:rPr>
        <w:t>根据《县发展和改革局职能配置、内设机构和人员编制规定》， 县发展和改革局的主要职责是：拟定并组织实施全县国民经济和社会发展战略、中长期规划和年度计划。贯彻落实国家宏观调控政策。指导推进和综合协调经济体制改革有关工作，提出相关改革建议。提出全县利用外资和境外投资的战略、规划、总量平衡和结构优化政策。负责全县投资综合管理。推进落实京津冀协同发展战略、新型城镇化战略和重大政策，组织拟订相关区域规划和政策。协调县域一二三产业发展重大问题并统筹衔接相关发展规划和重大政策。跟踪研判涉及经济安全、生态安全等各类风险隐患。推动实施全县创新驱动发展。负责全县社会发展与国民经济发展的政策衔接。推动生态文明建设和改革。组织落实国家省市有关粮食流通和物资储备的法律法规和政策。协调能源发展和改革中的重大问题。拟定全县商务发展规划。拟定全县国内贸易发展规划。提出流通体制改革建议。牵头推进商务领域信用体系建设。组织实施重要消费品市场流通管理。贯彻执行国家和省市促进外贸增长方式改变的政策措施。会同有关部门贯彻执行国家和省市促进服务出口和服务外包的规划、政策。依法监督检查外商投资企业执行有关法律法规情况并协调解决有关问题。负责全县对外经济合作工作。配合上级商务部门调查境外对我国出口商品实施的歧视性贸易政策等。负责全县商务系统涉及世贸组织相关事务的研究、指导等。负责全县会展业促进与管理工作。监测分析全县商务运行情况。完成县委县政府交办其他任</w:t>
      </w:r>
      <w:r>
        <w:rPr>
          <w:rFonts w:hint="eastAsia" w:ascii="仿宋" w:hAnsi="仿宋" w:eastAsia="仿宋" w:cs="仿宋"/>
          <w:sz w:val="32"/>
          <w:szCs w:val="32"/>
          <w:lang w:val="en-US" w:eastAsia="zh-CN"/>
        </w:rPr>
        <w:t>务。部门机构设置情况：单位名称香河县发展和改革局，单位性质行政，单位规格正科级，下设机构1.办公室，2.国民经济综合股，3.固定资产投资股，4.项目股，5.资源节约和能源股，6.人口政策与人事股，7.内贸投资促进和市场管理股，8.对外贸易股，9.价格调控股，10.粮食监督审检股。</w:t>
      </w:r>
      <w:bookmarkStart w:id="0" w:name="_GoBack"/>
      <w:bookmarkEnd w:id="0"/>
      <w:r>
        <w:rPr>
          <w:rFonts w:hint="eastAsia" w:ascii="仿宋" w:hAnsi="仿宋" w:eastAsia="仿宋" w:cs="仿宋"/>
          <w:sz w:val="32"/>
          <w:szCs w:val="32"/>
          <w:lang w:val="en-US" w:eastAsia="zh-CN"/>
        </w:rPr>
        <w:t>机关</w:t>
      </w:r>
      <w:r>
        <w:rPr>
          <w:rFonts w:hint="eastAsia" w:ascii="仿宋" w:hAnsi="仿宋" w:eastAsia="仿宋" w:cs="仿宋"/>
          <w:color w:val="000000" w:themeColor="text1"/>
          <w:sz w:val="32"/>
          <w:szCs w:val="32"/>
          <w:lang w:val="en-US" w:eastAsia="zh-CN"/>
        </w:rPr>
        <w:t>编制为27名，其中行政编制15名，锁定事业编制8名，工勤编制4名。</w:t>
      </w:r>
      <w:r>
        <w:rPr>
          <w:rFonts w:ascii="Times New Roman" w:hAnsi="Times New Roman" w:eastAsia="仿宋_GB2312"/>
          <w:sz w:val="32"/>
          <w:szCs w:val="32"/>
        </w:rPr>
        <w:t>香河县</w:t>
      </w:r>
      <w:r>
        <w:rPr>
          <w:rFonts w:hint="eastAsia" w:ascii="Times New Roman" w:hAnsi="Times New Roman" w:eastAsia="仿宋_GB2312"/>
          <w:sz w:val="32"/>
          <w:szCs w:val="32"/>
          <w:lang w:eastAsia="zh-CN"/>
        </w:rPr>
        <w:t>发展和改革局（</w:t>
      </w:r>
      <w:r>
        <w:rPr>
          <w:rFonts w:ascii="Times New Roman" w:hAnsi="Times New Roman" w:eastAsia="仿宋_GB2312"/>
          <w:sz w:val="32"/>
          <w:szCs w:val="32"/>
        </w:rPr>
        <w:t>含所属单位</w:t>
      </w:r>
      <w:r>
        <w:rPr>
          <w:rFonts w:hint="eastAsia" w:ascii="Times New Roman" w:hAnsi="Times New Roman" w:eastAsia="仿宋_GB2312"/>
          <w:sz w:val="32"/>
          <w:szCs w:val="32"/>
          <w:lang w:eastAsia="zh-CN"/>
        </w:rPr>
        <w:t>）</w:t>
      </w:r>
      <w:r>
        <w:rPr>
          <w:rFonts w:ascii="Times New Roman" w:hAnsi="Times New Roman" w:eastAsia="仿宋_GB2312"/>
          <w:sz w:val="32"/>
          <w:szCs w:val="32"/>
        </w:rPr>
        <w:t>上年末固定资产金额为</w:t>
      </w:r>
      <w:r>
        <w:rPr>
          <w:rFonts w:hint="eastAsia" w:ascii="Times New Roman" w:hAnsi="Times New Roman" w:eastAsia="仿宋_GB2312"/>
          <w:sz w:val="32"/>
          <w:szCs w:val="32"/>
          <w:lang w:val="en-US" w:eastAsia="zh-CN"/>
        </w:rPr>
        <w:t>675.26</w:t>
      </w:r>
      <w:r>
        <w:rPr>
          <w:rFonts w:ascii="Times New Roman" w:hAnsi="Times New Roman" w:eastAsia="仿宋_GB2312"/>
          <w:sz w:val="32"/>
          <w:szCs w:val="32"/>
        </w:rPr>
        <w:t>万元</w:t>
      </w:r>
      <w:r>
        <w:rPr>
          <w:rFonts w:hint="eastAsia" w:ascii="Times New Roman" w:hAnsi="Times New Roman"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eastAsia="仿宋_GB2312"/>
          <w:color w:val="000000" w:themeColor="text1"/>
          <w:sz w:val="32"/>
          <w:szCs w:val="32"/>
          <w:lang w:eastAsia="zh-CN"/>
        </w:rPr>
      </w:pPr>
      <w:r>
        <w:rPr>
          <w:rFonts w:eastAsia="仿宋_GB2312"/>
          <w:color w:val="000000" w:themeColor="text1"/>
          <w:sz w:val="32"/>
          <w:szCs w:val="32"/>
          <w:lang w:eastAsia="zh-CN"/>
        </w:rPr>
        <w:t>当年部门（单位）履职总体目标、工作任务。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拟定并组织实施全县国民经济和社会发展战略、中长期规划和年度计划。负责县级专项规划、区域规划、空间规划与全县发展规划的统筹衔接。起草国民经济和社会发展、经济体制改革和对外开放的有关法规草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贯彻落实国家宏观调控政策，统筹提出全县国民经济和社会发展主要目标，监测宏观经济和社会发展态势趋势，提出经济调节政策建议。综合协调经济调节政策，牵头研究应对措施。调节经济运行，协调解决经济运行中的重大</w:t>
      </w:r>
      <w:r>
        <w:rPr>
          <w:rFonts w:hint="eastAsia" w:ascii="仿宋" w:hAnsi="仿宋" w:eastAsia="仿宋" w:cs="仿宋"/>
          <w:sz w:val="32"/>
          <w:szCs w:val="32"/>
          <w:lang w:val="en-US" w:eastAsia="zh-CN"/>
        </w:rPr>
        <w:t>问</w:t>
      </w:r>
      <w:r>
        <w:rPr>
          <w:rFonts w:hint="eastAsia" w:ascii="仿宋" w:hAnsi="仿宋" w:eastAsia="仿宋" w:cs="仿宋"/>
          <w:sz w:val="32"/>
          <w:szCs w:val="32"/>
          <w:lang w:eastAsia="zh-CN"/>
        </w:rPr>
        <w:t>题。拟订并组织实施有关价格政策，组织制定由县级管理的重要商品、服务价格和重要收费标准。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指导推进和综合协调经济体制改革有关工作，提出相关改革建议。牵头推进供给侧结构性改革，落实国家完善基本经济制度政策，会同有关部门落实市场准入负面清单制度。牵头推进优化营商环境工作。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提出全县利用外资和境外投资的战略、规划、总量平衡和结构优化政策。牵头推进实施全县“一带一路”建设有关工作。会同有关部门贯彻落实国家外商投资准入负面清单。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负责全县投资综合管理。拟订全县固定资产投资总规模，</w:t>
      </w:r>
      <w:r>
        <w:rPr>
          <w:rFonts w:hint="eastAsia" w:ascii="仿宋" w:hAnsi="仿宋" w:eastAsia="仿宋" w:cs="仿宋"/>
          <w:sz w:val="32"/>
          <w:szCs w:val="32"/>
          <w:lang w:val="en-US" w:eastAsia="zh-CN"/>
        </w:rPr>
        <w:t>结构</w:t>
      </w:r>
      <w:r>
        <w:rPr>
          <w:rFonts w:hint="eastAsia" w:ascii="仿宋" w:hAnsi="仿宋" w:eastAsia="仿宋" w:cs="仿宋"/>
          <w:sz w:val="32"/>
          <w:szCs w:val="32"/>
          <w:lang w:eastAsia="zh-CN"/>
        </w:rPr>
        <w:t>调控目标和政策，按规定权限审批(审核)固定资产投资项目。规划全县重点建设项目和生产力布局，组织推动重点建设项目。拟订并推动落实鼓励民间投资政策措施。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推进落实京津冀协同发展战略、新型城镇化战略和重大政策，组织拟订相关区城规划和政策。组织编制并推动实施新型城镇化规划。承担县委财经委员会、县推进京津冀协同发展工作领导小组、县重点建设领导小组等有关具体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协调县域</w:t>
      </w:r>
      <w:r>
        <w:rPr>
          <w:rFonts w:hint="eastAsia" w:ascii="仿宋" w:hAnsi="仿宋" w:eastAsia="仿宋" w:cs="仿宋"/>
          <w:sz w:val="32"/>
          <w:szCs w:val="32"/>
          <w:lang w:val="en-US" w:eastAsia="zh-CN"/>
        </w:rPr>
        <w:t>一二</w:t>
      </w:r>
      <w:r>
        <w:rPr>
          <w:rFonts w:hint="eastAsia" w:ascii="仿宋" w:hAnsi="仿宋" w:eastAsia="仿宋" w:cs="仿宋"/>
          <w:sz w:val="32"/>
          <w:szCs w:val="32"/>
          <w:lang w:eastAsia="zh-CN"/>
        </w:rPr>
        <w:t>三产业发展重大问题并统筹接相关发展规划和重大政策。协调推进基础设施建设发展，组织拟订并推动实施服务业及现代物流业规划和政策，综合研判消费变动趋。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跟踪研判涉及经济安全、生态安全、资源安全、科技安全、社会安全等各类风险隐患，提出相关工作建议。协调落实重要工业品、原材料和重要农产品进出口调控措施和总量计划。会同有关部门拟订全县储备物资品种目录、总体发展规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推动实施全县创新驱动发展。会同相关部门拟订全县推进创新创业的规划和政策。提出创新发展和培育经济发展新动能的政策。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负责全县社会发展与国民经济发展的政策衔接，协调有关重大问题。统筹推进基本公共服务体系建设和收入分配制度改革，提出促进就业、完善社会保障与经济协调发展的政策建议。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推动生态文明建设和改革，协调生态环境保护与修复、能源资源节约和综合利用等工作。提出健全生态保护补偿机制的政策措施，综合协调环保产业和清洁生产促进有关工作。提出全县能源节约消费控制目标、任务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组织落实国家、省、市有关粮食流通和物资储备的法律、法规和政策，落实国家、省、市粮食行业发展规划和政策，制定全县粮食行业发展规划并组织实施。拟订全县粮食流通、县级粮食储备和物资</w:t>
      </w:r>
      <w:r>
        <w:rPr>
          <w:rFonts w:hint="eastAsia" w:ascii="仿宋" w:hAnsi="仿宋" w:eastAsia="仿宋" w:cs="仿宋"/>
          <w:sz w:val="32"/>
          <w:szCs w:val="32"/>
          <w:lang w:val="en-US" w:eastAsia="zh-CN"/>
        </w:rPr>
        <w:t>储备</w:t>
      </w:r>
      <w:r>
        <w:rPr>
          <w:rFonts w:hint="eastAsia" w:ascii="仿宋" w:hAnsi="仿宋" w:eastAsia="仿宋" w:cs="仿宋"/>
          <w:sz w:val="32"/>
          <w:szCs w:val="32"/>
          <w:lang w:eastAsia="zh-CN"/>
        </w:rPr>
        <w:t>的攻策和规章制度并组织实施。承担全县粮食流通宏观调控，落实国家粮食购销政策，组织实施县级粮食、食糖和救灾物资等物资的收储、轮换和日常管理。贯彻落实国家粮食和物资储备仓储管理有关技术标准和规范，指导全县粮食流通和物资储备体制改革，承担粮食安全责任制考核日常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协调能源发展和改革中的重大问题。负责能源行业节能和资源综合利用。参与研究能源消费总量控制目标建议，指导、监督能源消费总量控制有关工作，衔接能源生产建设和供需平衡。负责能源预测预警。参与能源运行调节和应急保障。监管油气、新能源市场运行，规范能源市场秩序。监管油气管网设施的公平开放，参与电力市场的监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拟订全县商务发展规划、政策措施和年度安排并组织实施;研究经济全球化、区域经济合作、现代流通方式的发展趋势并提出建议。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拟订全县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县流通领域信息网络和电子商务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牵头推进商务领域信用体系建设，建立商务诚信公共服务平台。规范商贸企业交易行为，牵头推动全县重要产品</w:t>
      </w:r>
      <w:r>
        <w:rPr>
          <w:rFonts w:hint="eastAsia" w:ascii="仿宋" w:hAnsi="仿宋" w:eastAsia="仿宋" w:cs="仿宋"/>
          <w:sz w:val="32"/>
          <w:szCs w:val="32"/>
          <w:lang w:val="en-US" w:eastAsia="zh-CN"/>
        </w:rPr>
        <w:t>追溯</w:t>
      </w:r>
      <w:r>
        <w:rPr>
          <w:rFonts w:hint="eastAsia" w:ascii="仿宋" w:hAnsi="仿宋" w:eastAsia="仿宋" w:cs="仿宋"/>
          <w:sz w:val="32"/>
          <w:szCs w:val="32"/>
          <w:lang w:eastAsia="zh-CN"/>
        </w:rPr>
        <w:t>体系建设;按有关规定对特殊流通行业进行监督管理。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19.</w:t>
      </w:r>
      <w:r>
        <w:rPr>
          <w:rFonts w:hint="eastAsia" w:ascii="仿宋" w:hAnsi="仿宋" w:eastAsia="仿宋" w:cs="仿宋"/>
          <w:sz w:val="32"/>
          <w:szCs w:val="32"/>
          <w:lang w:eastAsia="zh-CN"/>
        </w:rPr>
        <w:t>贯彻执行国家和省市促进外贸增长方式转变的政策措施;会同有关部门协调大宗进出口商品;指导贸易促进活动和外贸促进体系建设。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贯彻执行国家和省市对外</w:t>
      </w:r>
      <w:r>
        <w:rPr>
          <w:rFonts w:hint="eastAsia" w:ascii="仿宋" w:hAnsi="仿宋" w:eastAsia="仿宋" w:cs="仿宋"/>
          <w:sz w:val="32"/>
          <w:szCs w:val="32"/>
          <w:lang w:val="en-US" w:eastAsia="zh-CN"/>
        </w:rPr>
        <w:t>技术</w:t>
      </w:r>
      <w:r>
        <w:rPr>
          <w:rFonts w:hint="eastAsia" w:ascii="仿宋" w:hAnsi="仿宋" w:eastAsia="仿宋" w:cs="仿宋"/>
          <w:sz w:val="32"/>
          <w:szCs w:val="32"/>
          <w:lang w:eastAsia="zh-CN"/>
        </w:rPr>
        <w:t>贸易、进出口管制以及鼓励技术和成套设备进出口的贸易政策。拟订和推进全县科技兴贸战略;依法监督技术引进、设备进口、国家限制出口技术的工作。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会同有关部门</w:t>
      </w:r>
      <w:r>
        <w:rPr>
          <w:rFonts w:hint="eastAsia" w:ascii="仿宋" w:hAnsi="仿宋" w:eastAsia="仿宋" w:cs="仿宋"/>
          <w:sz w:val="32"/>
          <w:szCs w:val="32"/>
          <w:lang w:val="en-US" w:eastAsia="zh-CN"/>
        </w:rPr>
        <w:t>贯彻</w:t>
      </w:r>
      <w:r>
        <w:rPr>
          <w:rFonts w:hint="eastAsia" w:ascii="仿宋" w:hAnsi="仿宋" w:eastAsia="仿宋" w:cs="仿宋"/>
          <w:sz w:val="32"/>
          <w:szCs w:val="32"/>
          <w:lang w:eastAsia="zh-CN"/>
        </w:rPr>
        <w:t>执行国家和省市促进服务出ロ和服务外包发展的规划、政策，牵头拟订全县服务贸易发展规划并组织实施。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依法监督检查外商投资企业执行有关法律法规规章、合同章程的情况并协调解决有关问题;规范对外招商引资活动、综合协调、指导国家级、省级经济开发区有关工作;指导和管理全县外商投资企业进出口工作。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负责全县对外经济合作工作，拟订并执行对外经济合作政策，依法管理和监督对外投资、对外承包工程、对外劳务合作等;负责境外就业职业介绍机构资格审核和监督检査工作;执行中国公民出境就业管理政策，指导外派劳务和境外就业人员的权益保护工作;拟订全县对外投资管理办法和具体政策；指导境外经贸园区有关工作;负责对外援助有关工作;指导全县对外投资和经济合作促进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配合上级商务部门调查国(境)外对我国出口商品实施的歧视性贸易政策、法律法规及做法。组织协调反倾销、反补贴和保障措施等贸易救济调查以及进出口公平贸易相关工作;指导、协调出口产品贸易摩擦应对和进ロ产品贸易</w:t>
      </w:r>
      <w:r>
        <w:rPr>
          <w:rFonts w:hint="eastAsia" w:ascii="仿宋" w:hAnsi="仿宋" w:eastAsia="仿宋" w:cs="仿宋"/>
          <w:sz w:val="32"/>
          <w:szCs w:val="32"/>
          <w:lang w:val="en-US" w:eastAsia="zh-CN"/>
        </w:rPr>
        <w:t>救济</w:t>
      </w:r>
      <w:r>
        <w:rPr>
          <w:rFonts w:hint="eastAsia" w:ascii="仿宋" w:hAnsi="仿宋" w:eastAsia="仿宋" w:cs="仿宋"/>
          <w:sz w:val="32"/>
          <w:szCs w:val="32"/>
          <w:lang w:eastAsia="zh-CN"/>
        </w:rPr>
        <w:t>申诉工作;跟踪调查反倾销、反补贴和保障措施等贸易救济措施对全县相关产业的影响;建立产业安全预警机制。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负责全县商务系统涉及世贸组织相关事务的研究、指导和服务工作，配合上级商务部门解决世贸组织框架下涉及我县的贸易争端，负责推进我县进出口贸易的标准化建设。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26.</w:t>
      </w:r>
      <w:r>
        <w:rPr>
          <w:rFonts w:hint="eastAsia" w:ascii="仿宋" w:hAnsi="仿宋" w:eastAsia="仿宋" w:cs="仿宋"/>
          <w:sz w:val="32"/>
          <w:szCs w:val="32"/>
          <w:lang w:eastAsia="zh-CN"/>
        </w:rPr>
        <w:t>贯彻执行国家制定的对自由贸易区国家和地区的经贸规划、政策并组织实施，管理联合国及其他国际组织或外国政府对我县经济技术合作方面的</w:t>
      </w:r>
      <w:r>
        <w:rPr>
          <w:rFonts w:hint="eastAsia" w:ascii="仿宋" w:hAnsi="仿宋" w:eastAsia="仿宋" w:cs="仿宋"/>
          <w:sz w:val="32"/>
          <w:szCs w:val="32"/>
          <w:lang w:val="en-US" w:eastAsia="zh-CN"/>
        </w:rPr>
        <w:t>无偿</w:t>
      </w:r>
      <w:r>
        <w:rPr>
          <w:rFonts w:hint="eastAsia" w:ascii="仿宋" w:hAnsi="仿宋" w:eastAsia="仿宋" w:cs="仿宋"/>
          <w:sz w:val="32"/>
          <w:szCs w:val="32"/>
          <w:lang w:eastAsia="zh-CN"/>
        </w:rPr>
        <w:t>援助及赠款等发展合作业务。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27.</w:t>
      </w:r>
      <w:r>
        <w:rPr>
          <w:rFonts w:hint="eastAsia" w:ascii="仿宋" w:hAnsi="仿宋" w:eastAsia="仿宋" w:cs="仿宋"/>
          <w:sz w:val="32"/>
          <w:szCs w:val="32"/>
          <w:lang w:eastAsia="zh-CN"/>
        </w:rPr>
        <w:t>负责全县会展业促进与管理工作，指导、管理境内外对外经济技术展览会和赴境外非商业性办展活动。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28.</w:t>
      </w:r>
      <w:r>
        <w:rPr>
          <w:rFonts w:hint="eastAsia" w:ascii="仿宋" w:hAnsi="仿宋" w:eastAsia="仿宋" w:cs="仿宋"/>
          <w:sz w:val="32"/>
          <w:szCs w:val="32"/>
          <w:lang w:eastAsia="zh-CN"/>
        </w:rPr>
        <w:t>监测分析全县商务运行情况，承担全县商务系统对外宣传和信息发布工作。</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textAlignment w:val="auto"/>
        <w:rPr>
          <w:rFonts w:eastAsia="仿宋_GB2312"/>
          <w:color w:val="FF0000"/>
          <w:sz w:val="32"/>
          <w:szCs w:val="32"/>
          <w:lang w:eastAsia="zh-CN"/>
        </w:rPr>
      </w:pPr>
      <w:r>
        <w:rPr>
          <w:rFonts w:hint="eastAsia" w:ascii="仿宋" w:hAnsi="仿宋" w:eastAsia="仿宋" w:cs="仿宋"/>
          <w:sz w:val="32"/>
          <w:szCs w:val="32"/>
          <w:lang w:val="en-US" w:eastAsia="zh-CN"/>
        </w:rPr>
        <w:t>29.</w:t>
      </w:r>
      <w:r>
        <w:rPr>
          <w:rFonts w:hint="eastAsia" w:ascii="仿宋" w:hAnsi="仿宋" w:eastAsia="仿宋" w:cs="仿宋"/>
          <w:sz w:val="32"/>
          <w:szCs w:val="32"/>
          <w:lang w:eastAsia="zh-CN"/>
        </w:rPr>
        <w:t>完成县委、县政府交办的其他任务。</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textAlignment w:val="auto"/>
        <w:rPr>
          <w:rFonts w:eastAsia="仿宋_GB2312"/>
          <w:color w:val="000000" w:themeColor="text1"/>
          <w:sz w:val="32"/>
          <w:szCs w:val="32"/>
          <w:lang w:eastAsia="zh-CN"/>
        </w:rPr>
      </w:pPr>
      <w:r>
        <w:rPr>
          <w:rFonts w:eastAsia="仿宋_GB2312"/>
          <w:color w:val="000000" w:themeColor="text1"/>
          <w:sz w:val="32"/>
          <w:szCs w:val="32"/>
          <w:lang w:eastAsia="zh-CN"/>
        </w:rPr>
        <w:t>（三）当年部门（单位）年度整体绩效目标。</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加强运行调度、确保</w:t>
      </w:r>
      <w:r>
        <w:rPr>
          <w:rFonts w:hint="eastAsia" w:ascii="仿宋_GB2312" w:hAnsi="黑体" w:eastAsia="仿宋_GB2312"/>
          <w:sz w:val="32"/>
          <w:szCs w:val="32"/>
          <w:lang w:val="en-US" w:eastAsia="zh-CN"/>
        </w:rPr>
        <w:t>完成</w:t>
      </w:r>
      <w:r>
        <w:rPr>
          <w:rFonts w:hint="eastAsia" w:ascii="仿宋_GB2312" w:hAnsi="黑体" w:eastAsia="仿宋_GB2312"/>
          <w:sz w:val="32"/>
          <w:szCs w:val="32"/>
        </w:rPr>
        <w:t>“十三五”</w:t>
      </w:r>
      <w:r>
        <w:rPr>
          <w:rFonts w:hint="eastAsia" w:ascii="仿宋_GB2312" w:hAnsi="黑体" w:eastAsia="仿宋_GB2312"/>
          <w:sz w:val="32"/>
          <w:szCs w:val="32"/>
          <w:lang w:val="en-US" w:eastAsia="zh-CN"/>
        </w:rPr>
        <w:t>各项目标任务</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主动对接京津、承接高端产业外溢和辐射</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聚力产业提升，推动经济转型升级</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强化服务意识，确保项目顺利推进</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推进创新改革，增强发展动力活力</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坚持党建引领，服务经济发展大局</w:t>
      </w:r>
      <w:r>
        <w:rPr>
          <w:rFonts w:hint="eastAsia" w:ascii="仿宋_GB2312" w:hAnsi="黑体" w:eastAsia="仿宋_GB2312"/>
          <w:sz w:val="32"/>
          <w:szCs w:val="32"/>
          <w:lang w:eastAsia="zh-CN"/>
        </w:rPr>
        <w:t>。</w:t>
      </w:r>
    </w:p>
    <w:p>
      <w:pPr>
        <w:keepNext w:val="0"/>
        <w:keepLines w:val="0"/>
        <w:pageBreakBefore w:val="0"/>
        <w:numPr>
          <w:ilvl w:val="0"/>
          <w:numId w:val="2"/>
        </w:numPr>
        <w:kinsoku/>
        <w:wordWrap/>
        <w:overflowPunct/>
        <w:topLinePunct w:val="0"/>
        <w:bidi w:val="0"/>
        <w:snapToGrid/>
        <w:spacing w:line="500" w:lineRule="exact"/>
        <w:ind w:firstLine="640" w:firstLineChars="200"/>
        <w:textAlignment w:val="auto"/>
        <w:rPr>
          <w:rFonts w:eastAsia="仿宋_GB2312"/>
          <w:sz w:val="32"/>
          <w:szCs w:val="32"/>
          <w:lang w:eastAsia="zh-CN"/>
        </w:rPr>
      </w:pPr>
      <w:r>
        <w:rPr>
          <w:rFonts w:eastAsia="仿宋_GB2312"/>
          <w:sz w:val="32"/>
          <w:szCs w:val="32"/>
          <w:lang w:eastAsia="zh-CN"/>
        </w:rPr>
        <w:t>部门（单位）预算绩效管理开展情况。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eastAsia="仿宋_GB2312"/>
          <w:sz w:val="32"/>
          <w:szCs w:val="32"/>
          <w:lang w:eastAsia="zh-CN"/>
        </w:rPr>
      </w:pPr>
      <w:r>
        <w:rPr>
          <w:rFonts w:hint="eastAsia" w:eastAsia="仿宋_GB2312"/>
          <w:sz w:val="32"/>
          <w:szCs w:val="32"/>
          <w:lang w:eastAsia="zh-CN"/>
        </w:rPr>
        <w:t>根据县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pPr>
        <w:keepNext w:val="0"/>
        <w:keepLines w:val="0"/>
        <w:pageBreakBefore w:val="0"/>
        <w:numPr>
          <w:ilvl w:val="0"/>
          <w:numId w:val="3"/>
        </w:numPr>
        <w:kinsoku/>
        <w:wordWrap/>
        <w:overflowPunct/>
        <w:topLinePunct w:val="0"/>
        <w:autoSpaceDE w:val="0"/>
        <w:autoSpaceDN w:val="0"/>
        <w:bidi w:val="0"/>
        <w:adjustRightInd w:val="0"/>
        <w:snapToGrid/>
        <w:spacing w:line="500" w:lineRule="exact"/>
        <w:ind w:firstLine="640" w:firstLineChars="200"/>
        <w:textAlignment w:val="auto"/>
        <w:rPr>
          <w:rFonts w:eastAsia="仿宋_GB2312"/>
          <w:sz w:val="32"/>
          <w:szCs w:val="32"/>
          <w:lang w:eastAsia="zh-CN"/>
        </w:rPr>
      </w:pPr>
      <w:r>
        <w:rPr>
          <w:rFonts w:eastAsia="仿宋_GB2312"/>
          <w:sz w:val="32"/>
          <w:szCs w:val="32"/>
          <w:lang w:eastAsia="zh-CN"/>
        </w:rPr>
        <w:t>当年部门（单位）预算及执行情况。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年度财政预算安排项目为：</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“5·18”省经贸洽谈会经费</w:t>
      </w:r>
      <w:r>
        <w:rPr>
          <w:rFonts w:hint="eastAsia" w:ascii="仿宋" w:hAnsi="仿宋" w:eastAsia="仿宋" w:cs="仿宋"/>
          <w:sz w:val="32"/>
          <w:szCs w:val="32"/>
          <w:lang w:val="en-US" w:eastAsia="zh-CN"/>
        </w:rPr>
        <w:t>,5万元；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“9·26”农交会经费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城市公共汽车运行、城市客运出租车运价及污水处理费成本监审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储备粮管理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电代煤办公室、供气调峰应急领导小组办公室、京津冀协同发展办公室工作经费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电代煤运行补贴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2274.575079万元；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价格鉴证经费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军供粮油管理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离退休及下岗工人政策性补贴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粮食局屋顶彩钢防水工程质保金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粮食流通基础设施建设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175.5万元；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粮食市场监测预警费用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rPr>
        <w:t>粮食收储供应安全保障经费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rPr>
        <w:t>粮食质量监测体系建设经费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w:t>
      </w:r>
      <w:r>
        <w:rPr>
          <w:rFonts w:hint="eastAsia" w:ascii="仿宋" w:hAnsi="仿宋" w:eastAsia="仿宋" w:cs="仿宋"/>
          <w:sz w:val="32"/>
          <w:szCs w:val="32"/>
        </w:rPr>
        <w:t>粮食流通监督检查经费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rPr>
        <w:t>认证中心评估经费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w:t>
      </w:r>
      <w:r>
        <w:rPr>
          <w:rFonts w:hint="eastAsia" w:ascii="仿宋" w:hAnsi="仿宋" w:eastAsia="仿宋" w:cs="仿宋"/>
          <w:sz w:val="32"/>
          <w:szCs w:val="32"/>
        </w:rPr>
        <w:t>商贸流通药品流通监管业务费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w:t>
      </w:r>
      <w:r>
        <w:rPr>
          <w:rFonts w:hint="eastAsia" w:ascii="仿宋" w:hAnsi="仿宋" w:eastAsia="仿宋" w:cs="仿宋"/>
          <w:sz w:val="32"/>
          <w:szCs w:val="32"/>
        </w:rPr>
        <w:t>商贸洽谈会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w:t>
      </w:r>
      <w:r>
        <w:rPr>
          <w:rFonts w:hint="eastAsia" w:ascii="仿宋" w:hAnsi="仿宋" w:eastAsia="仿宋" w:cs="仿宋"/>
          <w:sz w:val="32"/>
          <w:szCs w:val="32"/>
        </w:rPr>
        <w:t>社会粮食统计调查经费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w:t>
      </w:r>
      <w:r>
        <w:rPr>
          <w:rFonts w:hint="eastAsia" w:ascii="仿宋" w:hAnsi="仿宋" w:eastAsia="仿宋" w:cs="仿宋"/>
          <w:sz w:val="32"/>
          <w:szCs w:val="32"/>
        </w:rPr>
        <w:t>省重点项目申报经费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rPr>
        <w:t>“双创双服”活动资金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rPr>
        <w:t>退休下岗工人管理慰问费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rPr>
        <w:t>招商经费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w:t>
      </w:r>
      <w:r>
        <w:rPr>
          <w:rFonts w:hint="eastAsia" w:ascii="仿宋" w:hAnsi="仿宋" w:eastAsia="仿宋" w:cs="仿宋"/>
          <w:sz w:val="32"/>
          <w:szCs w:val="32"/>
        </w:rPr>
        <w:t>政策性应急供应粮食仓储设施维修改造项目资金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46.16万元；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25.</w:t>
      </w:r>
      <w:r>
        <w:rPr>
          <w:rFonts w:hint="eastAsia" w:ascii="仿宋" w:hAnsi="仿宋" w:eastAsia="仿宋" w:cs="仿宋"/>
          <w:sz w:val="32"/>
          <w:szCs w:val="32"/>
        </w:rPr>
        <w:t>政府投资项目可研评审费用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50万元；</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26.</w:t>
      </w:r>
      <w:r>
        <w:rPr>
          <w:rFonts w:hint="eastAsia" w:ascii="仿宋" w:hAnsi="仿宋" w:eastAsia="仿宋" w:cs="仿宋"/>
          <w:sz w:val="32"/>
          <w:szCs w:val="32"/>
        </w:rPr>
        <w:t>执法机构经费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5万元；</w:t>
      </w:r>
    </w:p>
    <w:p>
      <w:pPr>
        <w:keepNext w:val="0"/>
        <w:keepLines w:val="0"/>
        <w:pageBreakBefore w:val="0"/>
        <w:kinsoku/>
        <w:wordWrap/>
        <w:overflowPunct/>
        <w:topLinePunct w:val="0"/>
        <w:bidi w:val="0"/>
        <w:snapToGrid/>
        <w:spacing w:line="500" w:lineRule="exact"/>
        <w:ind w:firstLine="640" w:firstLineChars="200"/>
        <w:textAlignment w:val="auto"/>
        <w:rPr>
          <w:rFonts w:ascii="仿宋" w:hAnsi="仿宋" w:eastAsia="仿宋" w:cs="仿宋"/>
          <w:color w:val="FF0000"/>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rPr>
        <w:t>省重点项目电子台账专项经费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4万元</w:t>
      </w:r>
      <w:r>
        <w:rPr>
          <w:rFonts w:hint="eastAsia" w:ascii="仿宋_GB2312" w:hAnsi="Tahoma" w:eastAsia="仿宋_GB2312" w:cs="Tahoma"/>
          <w:kern w:val="0"/>
          <w:sz w:val="32"/>
          <w:szCs w:val="32"/>
        </w:rPr>
        <w:t>。</w:t>
      </w:r>
    </w:p>
    <w:p>
      <w:pPr>
        <w:keepNext w:val="0"/>
        <w:keepLines w:val="0"/>
        <w:pageBreakBefore w:val="0"/>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default" w:eastAsia="仿宋_GB2312"/>
          <w:sz w:val="32"/>
          <w:szCs w:val="32"/>
          <w:lang w:val="en-US" w:eastAsia="zh-CN"/>
        </w:rPr>
      </w:pPr>
      <w:r>
        <w:rPr>
          <w:rFonts w:hint="eastAsia" w:ascii="仿宋_GB2312" w:hAnsi="Tahoma" w:eastAsia="仿宋_GB2312" w:cs="Tahoma"/>
          <w:kern w:val="0"/>
          <w:sz w:val="32"/>
          <w:szCs w:val="32"/>
          <w:lang w:eastAsia="zh-CN"/>
        </w:rPr>
        <w:t>香河县发展和改革局</w:t>
      </w:r>
      <w:r>
        <w:rPr>
          <w:rFonts w:hint="eastAsia" w:ascii="仿宋_GB2312" w:hAnsi="Tahoma" w:eastAsia="仿宋_GB2312" w:cs="Tahoma"/>
          <w:kern w:val="0"/>
          <w:sz w:val="32"/>
          <w:szCs w:val="32"/>
          <w:lang w:val="en-US" w:eastAsia="zh-CN"/>
        </w:rPr>
        <w:t>2019年度预算安排已全部执行到位。</w:t>
      </w:r>
    </w:p>
    <w:p>
      <w:pPr>
        <w:keepNext w:val="0"/>
        <w:keepLines w:val="0"/>
        <w:pageBreakBefore w:val="0"/>
        <w:numPr>
          <w:ilvl w:val="0"/>
          <w:numId w:val="4"/>
        </w:numPr>
        <w:kinsoku/>
        <w:wordWrap/>
        <w:overflowPunct/>
        <w:topLinePunct w:val="0"/>
        <w:bidi w:val="0"/>
        <w:snapToGrid/>
        <w:spacing w:line="500" w:lineRule="exact"/>
        <w:ind w:firstLine="643" w:firstLineChars="200"/>
        <w:jc w:val="left"/>
        <w:textAlignment w:val="auto"/>
        <w:rPr>
          <w:rFonts w:eastAsia="仿宋_GB2312"/>
          <w:color w:val="FF0000"/>
          <w:sz w:val="32"/>
          <w:szCs w:val="32"/>
          <w:lang w:eastAsia="zh-CN"/>
        </w:rPr>
      </w:pPr>
      <w:r>
        <w:rPr>
          <w:rFonts w:eastAsia="仿宋_GB2312"/>
          <w:b/>
          <w:bCs/>
          <w:sz w:val="32"/>
          <w:szCs w:val="32"/>
          <w:lang w:eastAsia="zh-CN"/>
        </w:rPr>
        <w:t>部门（单位）整体绩效实现情况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ahoma" w:eastAsia="仿宋_GB2312" w:cs="Tahoma"/>
          <w:kern w:val="0"/>
          <w:sz w:val="32"/>
          <w:szCs w:val="32"/>
          <w:lang w:eastAsia="zh-CN"/>
        </w:rPr>
      </w:pPr>
      <w:r>
        <w:rPr>
          <w:rFonts w:hint="eastAsia" w:ascii="仿宋_GB2312" w:hAnsi="Tahoma" w:eastAsia="仿宋_GB2312" w:cs="Tahoma"/>
          <w:kern w:val="0"/>
          <w:sz w:val="32"/>
          <w:szCs w:val="32"/>
          <w:lang w:eastAsia="zh-CN"/>
        </w:rPr>
        <w:t>香河县发展和改革局</w:t>
      </w:r>
      <w:r>
        <w:rPr>
          <w:rFonts w:hint="eastAsia" w:ascii="仿宋_GB2312" w:hAnsi="Tahoma" w:eastAsia="仿宋_GB2312" w:cs="Tahoma"/>
          <w:kern w:val="0"/>
          <w:sz w:val="32"/>
          <w:szCs w:val="32"/>
        </w:rPr>
        <w:t>201</w:t>
      </w:r>
      <w:r>
        <w:rPr>
          <w:rFonts w:hint="eastAsia" w:ascii="仿宋_GB2312" w:hAnsi="Tahoma" w:eastAsia="仿宋_GB2312" w:cs="Tahoma"/>
          <w:kern w:val="0"/>
          <w:sz w:val="32"/>
          <w:szCs w:val="32"/>
          <w:lang w:val="en-US" w:eastAsia="zh-CN"/>
        </w:rPr>
        <w:t>9</w:t>
      </w:r>
      <w:r>
        <w:rPr>
          <w:rFonts w:hint="eastAsia" w:ascii="仿宋_GB2312" w:hAnsi="Tahoma" w:eastAsia="仿宋_GB2312" w:cs="Tahoma"/>
          <w:kern w:val="0"/>
          <w:sz w:val="32"/>
          <w:szCs w:val="32"/>
        </w:rPr>
        <w:t>年</w:t>
      </w:r>
      <w:r>
        <w:rPr>
          <w:rFonts w:hint="eastAsia" w:ascii="仿宋_GB2312" w:hAnsi="Tahoma" w:eastAsia="仿宋_GB2312" w:cs="Tahoma"/>
          <w:kern w:val="0"/>
          <w:sz w:val="32"/>
          <w:szCs w:val="32"/>
          <w:lang w:eastAsia="zh-CN"/>
        </w:rPr>
        <w:t>共</w:t>
      </w:r>
      <w:r>
        <w:rPr>
          <w:rFonts w:hint="eastAsia" w:ascii="仿宋_GB2312" w:hAnsi="Tahoma" w:eastAsia="仿宋_GB2312" w:cs="Tahoma"/>
          <w:kern w:val="0"/>
          <w:sz w:val="32"/>
          <w:szCs w:val="32"/>
          <w:lang w:val="en-US" w:eastAsia="zh-CN"/>
        </w:rPr>
        <w:t>27</w:t>
      </w:r>
      <w:r>
        <w:rPr>
          <w:rFonts w:hint="eastAsia" w:ascii="仿宋_GB2312" w:hAnsi="Tahoma" w:eastAsia="仿宋_GB2312" w:cs="Tahoma"/>
          <w:kern w:val="0"/>
          <w:sz w:val="32"/>
          <w:szCs w:val="32"/>
        </w:rPr>
        <w:t>项绩效指标。</w:t>
      </w:r>
      <w:r>
        <w:rPr>
          <w:rFonts w:hint="eastAsia" w:ascii="仿宋_GB2312" w:hAnsi="Tahoma" w:eastAsia="仿宋_GB2312" w:cs="Tahoma"/>
          <w:kern w:val="0"/>
          <w:sz w:val="32"/>
          <w:szCs w:val="32"/>
          <w:lang w:eastAsia="zh-CN"/>
        </w:rPr>
        <w:t>绩效目标完成情况如下：</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“5·18”省经贸洽谈会经费</w:t>
      </w:r>
      <w:r>
        <w:rPr>
          <w:rFonts w:hint="eastAsia" w:ascii="仿宋" w:hAnsi="仿宋" w:eastAsia="仿宋" w:cs="仿宋"/>
          <w:sz w:val="32"/>
          <w:szCs w:val="32"/>
          <w:lang w:val="en-US"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ascii="仿宋" w:hAnsi="仿宋" w:eastAsia="仿宋" w:cs="仿宋"/>
          <w:sz w:val="32"/>
          <w:szCs w:val="32"/>
          <w:lang w:val="en-US" w:eastAsia="zh-CN"/>
        </w:rPr>
        <w:t>通过项目的开展，实现上会签约项目6个，发布对外招商项目20个；完成质量100%，于2019年5月18日完成签约；履职成本达标。</w:t>
      </w:r>
      <w:r>
        <w:rPr>
          <w:rFonts w:hint="eastAsia" w:eastAsia="仿宋_GB2312"/>
          <w:color w:val="000000" w:themeColor="text1"/>
          <w:sz w:val="32"/>
          <w:szCs w:val="32"/>
          <w:lang w:eastAsia="zh-CN"/>
        </w:rPr>
        <w:t>部门效果</w:t>
      </w:r>
      <w:r>
        <w:rPr>
          <w:rFonts w:eastAsia="仿宋_GB2312"/>
          <w:color w:val="000000" w:themeColor="text1"/>
          <w:sz w:val="32"/>
          <w:szCs w:val="32"/>
          <w:lang w:eastAsia="zh-CN"/>
        </w:rPr>
        <w:t>情况</w:t>
      </w:r>
      <w:r>
        <w:rPr>
          <w:rFonts w:hint="eastAsia" w:eastAsia="仿宋_GB2312"/>
          <w:color w:val="000000" w:themeColor="text1"/>
          <w:sz w:val="32"/>
          <w:szCs w:val="32"/>
          <w:lang w:eastAsia="zh-CN"/>
        </w:rPr>
        <w:t>：</w:t>
      </w:r>
      <w:r>
        <w:rPr>
          <w:rFonts w:hint="eastAsia" w:ascii="仿宋" w:hAnsi="仿宋" w:eastAsia="仿宋" w:cs="仿宋"/>
          <w:sz w:val="32"/>
          <w:szCs w:val="32"/>
          <w:lang w:val="en-US" w:eastAsia="zh-CN"/>
        </w:rPr>
        <w:t>通过签约，引进资金，带动区域经济发展，推动了全县经济发展，起到一定的社会效益，引进了外来资金，起到了一定的经济效益，服务对象满意度95%。</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“9·26”农交会经费</w:t>
      </w:r>
      <w:r>
        <w:rPr>
          <w:rFonts w:hint="eastAsia" w:ascii="仿宋" w:hAnsi="仿宋" w:eastAsia="仿宋" w:cs="仿宋"/>
          <w:sz w:val="32"/>
          <w:szCs w:val="32"/>
          <w:lang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ascii="仿宋" w:hAnsi="仿宋" w:eastAsia="仿宋" w:cs="仿宋"/>
          <w:sz w:val="32"/>
          <w:szCs w:val="32"/>
          <w:lang w:val="en-US" w:eastAsia="zh-CN"/>
        </w:rPr>
        <w:t>：通过项目的开展，实现上会签约项目2个;完成质量100%;已于2019年9月26日完成签约；履职成本达标。</w:t>
      </w:r>
      <w:r>
        <w:rPr>
          <w:rFonts w:hint="eastAsia" w:eastAsia="仿宋_GB2312"/>
          <w:color w:val="000000" w:themeColor="text1"/>
          <w:sz w:val="32"/>
          <w:szCs w:val="32"/>
          <w:lang w:eastAsia="zh-CN"/>
        </w:rPr>
        <w:t>部门效果</w:t>
      </w:r>
      <w:r>
        <w:rPr>
          <w:rFonts w:eastAsia="仿宋_GB2312"/>
          <w:color w:val="000000" w:themeColor="text1"/>
          <w:sz w:val="32"/>
          <w:szCs w:val="32"/>
          <w:lang w:eastAsia="zh-CN"/>
        </w:rPr>
        <w:t>情况</w:t>
      </w:r>
      <w:r>
        <w:rPr>
          <w:rFonts w:hint="eastAsia" w:eastAsia="仿宋_GB2312"/>
          <w:color w:val="000000" w:themeColor="text1"/>
          <w:sz w:val="32"/>
          <w:szCs w:val="32"/>
          <w:lang w:eastAsia="zh-CN"/>
        </w:rPr>
        <w:t>：通过洽谈会召开促动全县项目建设，推动全县经济发展，起到一定的社会效益；</w:t>
      </w:r>
      <w:r>
        <w:rPr>
          <w:rFonts w:hint="eastAsia" w:ascii="仿宋" w:hAnsi="仿宋" w:eastAsia="仿宋" w:cs="仿宋"/>
          <w:sz w:val="32"/>
          <w:szCs w:val="32"/>
          <w:lang w:val="en-US" w:eastAsia="zh-CN"/>
        </w:rPr>
        <w:t>通过洽谈会召开促动全县项目建设吸引外来投资，起到一定的经济效益；服务对象满意度95%。</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城市公共汽车运行、城市客运出租车运价及污水处理费成本监审</w:t>
      </w:r>
      <w:r>
        <w:rPr>
          <w:rFonts w:hint="eastAsia" w:ascii="仿宋" w:hAnsi="仿宋" w:eastAsia="仿宋" w:cs="仿宋"/>
          <w:sz w:val="32"/>
          <w:szCs w:val="32"/>
          <w:lang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ascii="仿宋" w:hAnsi="仿宋" w:eastAsia="仿宋" w:cs="仿宋"/>
          <w:sz w:val="32"/>
          <w:szCs w:val="32"/>
          <w:lang w:val="en-US" w:eastAsia="zh-CN"/>
        </w:rPr>
        <w:t>：通过对全县城市公共汽车运行、城市客运出租车运价及污水处理费进行成本监审，为经济社会发展提供有力支撑，提高政府价格决策科学性；完成质量100%；已于2019年12月底前完成了此项工作；履职成本达标。</w:t>
      </w:r>
      <w:r>
        <w:rPr>
          <w:rFonts w:hint="eastAsia" w:eastAsia="仿宋_GB2312"/>
          <w:color w:val="000000" w:themeColor="text1"/>
          <w:sz w:val="32"/>
          <w:szCs w:val="32"/>
          <w:lang w:eastAsia="zh-CN"/>
        </w:rPr>
        <w:t>部门效果</w:t>
      </w:r>
      <w:r>
        <w:rPr>
          <w:rFonts w:eastAsia="仿宋_GB2312"/>
          <w:color w:val="000000" w:themeColor="text1"/>
          <w:sz w:val="32"/>
          <w:szCs w:val="32"/>
          <w:lang w:eastAsia="zh-CN"/>
        </w:rPr>
        <w:t>情况</w:t>
      </w:r>
      <w:r>
        <w:rPr>
          <w:rFonts w:hint="eastAsia" w:ascii="仿宋" w:hAnsi="仿宋" w:eastAsia="仿宋" w:cs="仿宋"/>
          <w:sz w:val="32"/>
          <w:szCs w:val="32"/>
          <w:lang w:val="en-US" w:eastAsia="zh-CN"/>
        </w:rPr>
        <w:t>：成本监审工作规范化、程序化，确保成本监审工作依法有序地开展，为经济社会发展和政府制定或调整价格提供了成本数据支撑；建立统一开放竞争有序的现代市场体系和促进经济社会可持续发展的机制；服务对象满意度95%。</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储备粮管理</w:t>
      </w:r>
      <w:r>
        <w:rPr>
          <w:rFonts w:hint="eastAsia" w:ascii="仿宋" w:hAnsi="仿宋" w:eastAsia="仿宋" w:cs="仿宋"/>
          <w:sz w:val="32"/>
          <w:szCs w:val="32"/>
          <w:lang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ascii="仿宋" w:hAnsi="仿宋" w:eastAsia="仿宋" w:cs="仿宋"/>
          <w:sz w:val="32"/>
          <w:szCs w:val="32"/>
          <w:lang w:val="en-US" w:eastAsia="zh-CN"/>
        </w:rPr>
        <w:t>：</w:t>
      </w:r>
      <w:r>
        <w:rPr>
          <w:rFonts w:hint="eastAsia" w:eastAsia="仿宋_GB2312"/>
          <w:color w:val="000000" w:themeColor="text1"/>
          <w:sz w:val="32"/>
          <w:szCs w:val="32"/>
          <w:lang w:val="en-US" w:eastAsia="zh-CN"/>
        </w:rPr>
        <w:t>已储</w:t>
      </w:r>
      <w:r>
        <w:rPr>
          <w:rFonts w:hint="eastAsia" w:ascii="仿宋" w:hAnsi="仿宋" w:eastAsia="仿宋" w:cs="仿宋"/>
          <w:color w:val="000000" w:themeColor="text1"/>
          <w:sz w:val="32"/>
          <w:szCs w:val="32"/>
          <w:lang w:val="en-US" w:eastAsia="zh-CN"/>
        </w:rPr>
        <w:t>备粮食1000吨；</w:t>
      </w:r>
      <w:r>
        <w:rPr>
          <w:rFonts w:hint="eastAsia" w:ascii="仿宋" w:hAnsi="仿宋" w:eastAsia="仿宋" w:cs="仿宋"/>
          <w:color w:val="000000" w:themeColor="text1"/>
          <w:sz w:val="32"/>
          <w:szCs w:val="32"/>
          <w:lang w:eastAsia="zh-CN"/>
        </w:rPr>
        <w:t>储备粮质量合格率</w:t>
      </w:r>
      <w:r>
        <w:rPr>
          <w:rFonts w:hint="eastAsia" w:ascii="仿宋" w:hAnsi="仿宋" w:eastAsia="仿宋" w:cs="仿宋"/>
          <w:color w:val="000000" w:themeColor="text1"/>
          <w:sz w:val="32"/>
          <w:szCs w:val="32"/>
          <w:lang w:val="en-US" w:eastAsia="zh-CN"/>
        </w:rPr>
        <w:t>100%；已完成</w:t>
      </w:r>
      <w:r>
        <w:rPr>
          <w:rFonts w:hint="eastAsia" w:eastAsia="仿宋_GB2312"/>
          <w:color w:val="000000" w:themeColor="text1"/>
          <w:sz w:val="32"/>
          <w:szCs w:val="32"/>
          <w:lang w:val="en-US" w:eastAsia="zh-CN"/>
        </w:rPr>
        <w:t>粮食储备，出具了检测报告；</w:t>
      </w:r>
      <w:r>
        <w:rPr>
          <w:rFonts w:hint="eastAsia" w:ascii="仿宋" w:hAnsi="仿宋" w:eastAsia="仿宋" w:cs="仿宋"/>
          <w:sz w:val="32"/>
          <w:szCs w:val="32"/>
          <w:lang w:val="en-US" w:eastAsia="zh-CN"/>
        </w:rPr>
        <w:t>履职成本达标。</w:t>
      </w:r>
      <w:r>
        <w:rPr>
          <w:rFonts w:hint="eastAsia" w:eastAsia="仿宋_GB2312"/>
          <w:color w:val="000000" w:themeColor="text1"/>
          <w:sz w:val="32"/>
          <w:szCs w:val="32"/>
          <w:lang w:eastAsia="zh-CN"/>
        </w:rPr>
        <w:t>部门效果</w:t>
      </w:r>
      <w:r>
        <w:rPr>
          <w:rFonts w:eastAsia="仿宋_GB2312"/>
          <w:color w:val="000000" w:themeColor="text1"/>
          <w:sz w:val="32"/>
          <w:szCs w:val="32"/>
          <w:lang w:eastAsia="zh-CN"/>
        </w:rPr>
        <w:t>情况</w:t>
      </w:r>
      <w:r>
        <w:rPr>
          <w:rFonts w:hint="eastAsia" w:eastAsia="仿宋_GB2312"/>
          <w:color w:val="000000" w:themeColor="text1"/>
          <w:sz w:val="32"/>
          <w:szCs w:val="32"/>
          <w:lang w:eastAsia="zh-CN"/>
        </w:rPr>
        <w:t>：</w:t>
      </w:r>
      <w:r>
        <w:rPr>
          <w:rFonts w:hint="eastAsia" w:eastAsia="仿宋_GB2312"/>
          <w:color w:val="000000" w:themeColor="text1"/>
          <w:sz w:val="32"/>
          <w:szCs w:val="32"/>
          <w:lang w:val="en-US" w:eastAsia="zh-CN"/>
        </w:rPr>
        <w:t>为粮食的收储提供了有效保障，有效提升了我县粮食供应安全保障能力</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电代煤办公室、供气调峰应急领导小组办公室、京津冀协同发展办公室工作经费</w:t>
      </w:r>
      <w:r>
        <w:rPr>
          <w:rFonts w:hint="eastAsia" w:ascii="仿宋" w:hAnsi="仿宋" w:eastAsia="仿宋" w:cs="仿宋"/>
          <w:sz w:val="32"/>
          <w:szCs w:val="32"/>
          <w:lang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2019年度服务了电代煤用户30708户，对接活动2次；2019年度组织开展全县电代安全检查2次；开展调研保障工作5次；已于2019年12月底完成；履职成本达标。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保障了电代煤工程顺利运行，确保协同发展工作顺利进行；服务对象满意度90%。</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电代煤运行补贴</w:t>
      </w:r>
      <w:r>
        <w:rPr>
          <w:rFonts w:hint="eastAsia" w:ascii="仿宋" w:hAnsi="仿宋" w:eastAsia="仿宋" w:cs="仿宋"/>
          <w:sz w:val="32"/>
          <w:szCs w:val="32"/>
          <w:lang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eastAsia="仿宋_GB2312"/>
          <w:color w:val="000000" w:themeColor="text1"/>
          <w:sz w:val="32"/>
          <w:szCs w:val="32"/>
          <w:lang w:eastAsia="zh-CN"/>
        </w:rPr>
        <w:t>：补贴范围为全县电代煤用</w:t>
      </w:r>
      <w:r>
        <w:rPr>
          <w:rFonts w:hint="eastAsia" w:ascii="仿宋" w:hAnsi="仿宋" w:eastAsia="仿宋" w:cs="仿宋"/>
          <w:color w:val="000000" w:themeColor="text1"/>
          <w:sz w:val="32"/>
          <w:szCs w:val="32"/>
          <w:lang w:eastAsia="zh-CN"/>
        </w:rPr>
        <w:t>户</w:t>
      </w:r>
      <w:r>
        <w:rPr>
          <w:rFonts w:hint="eastAsia" w:ascii="仿宋" w:hAnsi="仿宋" w:eastAsia="仿宋" w:cs="仿宋"/>
          <w:color w:val="000000" w:themeColor="text1"/>
          <w:sz w:val="32"/>
          <w:szCs w:val="32"/>
          <w:lang w:val="en-US" w:eastAsia="zh-CN"/>
        </w:rPr>
        <w:t>30708户；</w:t>
      </w:r>
      <w:r>
        <w:rPr>
          <w:rFonts w:hint="eastAsia" w:ascii="仿宋" w:hAnsi="仿宋" w:eastAsia="仿宋" w:cs="仿宋"/>
          <w:color w:val="000000" w:themeColor="text1"/>
          <w:sz w:val="32"/>
          <w:szCs w:val="32"/>
          <w:lang w:eastAsia="zh-CN"/>
        </w:rPr>
        <w:t>补贴用户的取暖条件得到改善；</w:t>
      </w:r>
      <w:r>
        <w:rPr>
          <w:rFonts w:hint="eastAsia" w:ascii="仿宋" w:hAnsi="仿宋" w:eastAsia="仿宋" w:cs="仿宋"/>
          <w:color w:val="000000" w:themeColor="text1"/>
          <w:sz w:val="32"/>
          <w:szCs w:val="32"/>
          <w:lang w:val="en-US" w:eastAsia="zh-CN"/>
        </w:rPr>
        <w:t>已于2019年11月13日全部拨付完毕；履职成本达标。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将</w:t>
      </w:r>
      <w:r>
        <w:rPr>
          <w:rFonts w:hint="eastAsia" w:ascii="仿宋" w:hAnsi="仿宋" w:eastAsia="仿宋" w:cs="仿宋"/>
          <w:color w:val="000000"/>
          <w:kern w:val="0"/>
          <w:sz w:val="32"/>
          <w:szCs w:val="32"/>
          <w:lang w:val="en-US" w:eastAsia="zh-CN"/>
        </w:rPr>
        <w:t>用电补贴及配套生活用气补贴拨付到乡镇，保障群众温暖过冬；</w:t>
      </w:r>
      <w:r>
        <w:rPr>
          <w:rFonts w:hint="eastAsia" w:ascii="仿宋" w:hAnsi="仿宋" w:eastAsia="仿宋" w:cs="仿宋"/>
          <w:sz w:val="32"/>
          <w:szCs w:val="32"/>
          <w:lang w:val="en-US" w:eastAsia="zh-CN"/>
        </w:rPr>
        <w:t>服务对象满意度90%。</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价格鉴证经费</w:t>
      </w:r>
      <w:r>
        <w:rPr>
          <w:rFonts w:hint="eastAsia" w:ascii="仿宋" w:hAnsi="仿宋" w:eastAsia="仿宋" w:cs="仿宋"/>
          <w:sz w:val="32"/>
          <w:szCs w:val="32"/>
          <w:lang w:eastAsia="zh-CN"/>
        </w:rPr>
        <w:t>，</w:t>
      </w:r>
      <w:r>
        <w:rPr>
          <w:rFonts w:hint="eastAsia" w:eastAsia="仿宋_GB2312"/>
          <w:color w:val="000000" w:themeColor="text1"/>
          <w:sz w:val="32"/>
          <w:szCs w:val="32"/>
          <w:lang w:eastAsia="zh-CN"/>
        </w:rPr>
        <w:t>部门产出</w:t>
      </w:r>
      <w:r>
        <w:rPr>
          <w:rFonts w:eastAsia="仿宋_GB2312"/>
          <w:color w:val="000000" w:themeColor="text1"/>
          <w:sz w:val="32"/>
          <w:szCs w:val="32"/>
          <w:lang w:eastAsia="zh-CN"/>
        </w:rPr>
        <w:t>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出具</w:t>
      </w:r>
      <w:r>
        <w:rPr>
          <w:rFonts w:hint="eastAsia" w:ascii="仿宋" w:hAnsi="仿宋" w:eastAsia="仿宋" w:cs="仿宋"/>
          <w:color w:val="000000"/>
          <w:kern w:val="0"/>
          <w:sz w:val="32"/>
          <w:szCs w:val="32"/>
        </w:rPr>
        <w:t>价格认定结论书</w:t>
      </w:r>
      <w:r>
        <w:rPr>
          <w:rFonts w:hint="eastAsia" w:ascii="仿宋" w:hAnsi="仿宋" w:eastAsia="仿宋" w:cs="仿宋"/>
          <w:color w:val="000000"/>
          <w:kern w:val="0"/>
          <w:sz w:val="32"/>
          <w:szCs w:val="32"/>
          <w:lang w:val="en-US" w:eastAsia="zh-CN"/>
        </w:rPr>
        <w:t>70件；</w:t>
      </w:r>
      <w:r>
        <w:rPr>
          <w:rFonts w:hint="eastAsia" w:ascii="仿宋" w:hAnsi="仿宋" w:eastAsia="仿宋" w:cs="仿宋"/>
          <w:color w:val="000000"/>
          <w:kern w:val="0"/>
          <w:sz w:val="32"/>
          <w:szCs w:val="32"/>
        </w:rPr>
        <w:t>价格认定案件办结率</w:t>
      </w:r>
      <w:r>
        <w:rPr>
          <w:rFonts w:hint="eastAsia" w:ascii="仿宋" w:hAnsi="仿宋" w:eastAsia="仿宋" w:cs="仿宋"/>
          <w:color w:val="000000"/>
          <w:kern w:val="0"/>
          <w:sz w:val="32"/>
          <w:szCs w:val="32"/>
          <w:lang w:val="en-US" w:eastAsia="zh-CN"/>
        </w:rPr>
        <w:t>100%；接收的价格认定协助申请，均已完成价格调研，出具了价格认定结论书；</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做好涉案财物的价格认定，为打击犯罪起到积极稳定</w:t>
      </w:r>
      <w:r>
        <w:rPr>
          <w:rFonts w:hint="eastAsia" w:ascii="仿宋" w:hAnsi="仿宋" w:eastAsia="仿宋" w:cs="仿宋"/>
          <w:sz w:val="32"/>
          <w:szCs w:val="32"/>
          <w:lang w:val="en-US" w:eastAsia="zh-CN"/>
        </w:rPr>
        <w:t>的社会效益</w:t>
      </w:r>
      <w:r>
        <w:rPr>
          <w:rFonts w:hint="eastAsia" w:ascii="仿宋" w:hAnsi="仿宋" w:eastAsia="仿宋" w:cs="仿宋"/>
          <w:sz w:val="32"/>
          <w:szCs w:val="32"/>
          <w:lang w:eastAsia="zh-CN"/>
        </w:rPr>
        <w:t>；为司法机关办理相关案件、为行政工作提供依据，保障司法、行政工作顺利进行，对维护社会稳定方面有长远影响，</w:t>
      </w:r>
      <w:r>
        <w:rPr>
          <w:rFonts w:hint="eastAsia" w:ascii="仿宋" w:hAnsi="仿宋" w:eastAsia="仿宋" w:cs="仿宋"/>
          <w:sz w:val="32"/>
          <w:szCs w:val="32"/>
          <w:lang w:val="en-US" w:eastAsia="zh-CN"/>
        </w:rPr>
        <w:t>服务对象满意度95%</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粮食流通基础设施建设</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：完成2栋仓房基础建设，验收</w:t>
      </w:r>
      <w:r>
        <w:rPr>
          <w:rFonts w:hint="eastAsia" w:ascii="仿宋" w:hAnsi="仿宋" w:eastAsia="仿宋" w:cs="仿宋"/>
          <w:sz w:val="32"/>
          <w:szCs w:val="32"/>
          <w:lang w:val="en-US" w:eastAsia="zh-CN"/>
        </w:rPr>
        <w:t>合格率100%</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已于12月13日完成了仓房基础建设，已完成验收；</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rPr>
        <w:t>现阶段能够确保项目顺利进行，完工后，可以起到保证原粮的安全储备的社会效益；</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粮食市场监测预警费用</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完成</w:t>
      </w:r>
      <w:r>
        <w:rPr>
          <w:rFonts w:hint="eastAsia" w:ascii="仿宋" w:hAnsi="仿宋" w:eastAsia="仿宋" w:cs="仿宋"/>
          <w:color w:val="000000"/>
          <w:kern w:val="0"/>
          <w:sz w:val="32"/>
          <w:szCs w:val="32"/>
          <w:lang w:eastAsia="zh-CN"/>
        </w:rPr>
        <w:t>监测次数</w:t>
      </w:r>
      <w:r>
        <w:rPr>
          <w:rFonts w:hint="eastAsia" w:ascii="仿宋" w:hAnsi="仿宋" w:eastAsia="仿宋" w:cs="仿宋"/>
          <w:color w:val="000000"/>
          <w:kern w:val="0"/>
          <w:sz w:val="32"/>
          <w:szCs w:val="32"/>
          <w:lang w:val="en-US" w:eastAsia="zh-CN"/>
        </w:rPr>
        <w:t>12次；</w:t>
      </w:r>
      <w:r>
        <w:rPr>
          <w:rFonts w:hint="eastAsia" w:ascii="仿宋" w:hAnsi="仿宋" w:eastAsia="仿宋" w:cs="仿宋"/>
          <w:color w:val="000000"/>
          <w:kern w:val="0"/>
          <w:sz w:val="32"/>
          <w:szCs w:val="32"/>
          <w:lang w:eastAsia="zh-CN"/>
        </w:rPr>
        <w:t>监测预警完成率</w:t>
      </w:r>
      <w:r>
        <w:rPr>
          <w:rFonts w:hint="eastAsia" w:ascii="仿宋" w:hAnsi="仿宋" w:eastAsia="仿宋" w:cs="仿宋"/>
          <w:color w:val="000000"/>
          <w:kern w:val="0"/>
          <w:sz w:val="32"/>
          <w:szCs w:val="32"/>
          <w:lang w:val="en-US" w:eastAsia="zh-CN"/>
        </w:rPr>
        <w:t>100%；已于2019年12月底完成了粮食市场监测预警工作；</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eastAsia="zh-CN"/>
        </w:rPr>
        <w:t>完成</w:t>
      </w:r>
      <w:r>
        <w:rPr>
          <w:rFonts w:hint="eastAsia" w:ascii="仿宋" w:hAnsi="仿宋" w:eastAsia="仿宋" w:cs="仿宋"/>
          <w:color w:val="000000"/>
          <w:kern w:val="0"/>
          <w:sz w:val="32"/>
          <w:szCs w:val="32"/>
          <w:lang w:val="en-US" w:eastAsia="zh-CN"/>
        </w:rPr>
        <w:t>了</w:t>
      </w:r>
      <w:r>
        <w:rPr>
          <w:rFonts w:hint="eastAsia" w:ascii="仿宋" w:hAnsi="仿宋" w:eastAsia="仿宋" w:cs="仿宋"/>
          <w:color w:val="000000"/>
          <w:kern w:val="0"/>
          <w:sz w:val="32"/>
          <w:szCs w:val="32"/>
          <w:lang w:eastAsia="zh-CN"/>
        </w:rPr>
        <w:t>全年粮食市场监测，</w:t>
      </w:r>
      <w:r>
        <w:rPr>
          <w:rFonts w:hint="eastAsia" w:ascii="仿宋" w:hAnsi="仿宋" w:eastAsia="仿宋" w:cs="仿宋"/>
          <w:color w:val="000000"/>
          <w:kern w:val="0"/>
          <w:sz w:val="32"/>
          <w:szCs w:val="32"/>
          <w:lang w:val="en-US" w:eastAsia="zh-CN"/>
        </w:rPr>
        <w:t>可以起到为</w:t>
      </w:r>
      <w:r>
        <w:rPr>
          <w:rFonts w:hint="eastAsia" w:ascii="仿宋" w:hAnsi="仿宋" w:eastAsia="仿宋" w:cs="仿宋"/>
          <w:color w:val="000000"/>
          <w:kern w:val="0"/>
          <w:sz w:val="32"/>
          <w:szCs w:val="32"/>
          <w:lang w:eastAsia="zh-CN"/>
        </w:rPr>
        <w:t>全县粮食市场稳定发展做好保障</w:t>
      </w:r>
      <w:r>
        <w:rPr>
          <w:rFonts w:hint="eastAsia" w:ascii="仿宋" w:hAnsi="仿宋" w:eastAsia="仿宋" w:cs="仿宋"/>
          <w:color w:val="000000"/>
          <w:kern w:val="0"/>
          <w:sz w:val="32"/>
          <w:szCs w:val="32"/>
          <w:lang w:val="en-US" w:eastAsia="zh-CN"/>
        </w:rPr>
        <w:t>的社会效益</w:t>
      </w:r>
      <w:r>
        <w:rPr>
          <w:rFonts w:hint="eastAsia" w:ascii="仿宋" w:hAnsi="仿宋" w:eastAsia="仿宋" w:cs="仿宋"/>
          <w:color w:val="000000"/>
          <w:kern w:val="0"/>
          <w:sz w:val="32"/>
          <w:szCs w:val="32"/>
          <w:lang w:eastAsia="zh-CN"/>
        </w:rPr>
        <w:t>；</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粮食收储供应安全保障经费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color w:val="000000"/>
          <w:kern w:val="0"/>
          <w:sz w:val="32"/>
          <w:szCs w:val="32"/>
          <w:lang w:eastAsia="zh-CN"/>
        </w:rPr>
        <w:t>原粮质量检测</w:t>
      </w:r>
      <w:r>
        <w:rPr>
          <w:rFonts w:hint="eastAsia" w:ascii="仿宋" w:hAnsi="仿宋" w:eastAsia="仿宋" w:cs="仿宋"/>
          <w:color w:val="000000"/>
          <w:kern w:val="0"/>
          <w:sz w:val="32"/>
          <w:szCs w:val="32"/>
          <w:lang w:val="en-US" w:eastAsia="zh-CN"/>
        </w:rPr>
        <w:t>1次；</w:t>
      </w:r>
      <w:r>
        <w:rPr>
          <w:rFonts w:hint="eastAsia" w:ascii="仿宋" w:hAnsi="仿宋" w:eastAsia="仿宋" w:cs="仿宋"/>
          <w:color w:val="000000"/>
          <w:kern w:val="0"/>
          <w:sz w:val="32"/>
          <w:szCs w:val="32"/>
          <w:lang w:eastAsia="zh-CN"/>
        </w:rPr>
        <w:t>检测结果准确率</w:t>
      </w:r>
      <w:r>
        <w:rPr>
          <w:rFonts w:hint="eastAsia" w:ascii="仿宋" w:hAnsi="仿宋" w:eastAsia="仿宋" w:cs="仿宋"/>
          <w:color w:val="000000"/>
          <w:kern w:val="0"/>
          <w:sz w:val="32"/>
          <w:szCs w:val="32"/>
          <w:lang w:val="en-US" w:eastAsia="zh-CN"/>
        </w:rPr>
        <w:t>99.99%；已</w:t>
      </w:r>
      <w:r>
        <w:rPr>
          <w:rFonts w:hint="eastAsia" w:ascii="仿宋" w:hAnsi="仿宋" w:eastAsia="仿宋" w:cs="仿宋"/>
          <w:color w:val="000000"/>
          <w:kern w:val="0"/>
          <w:sz w:val="32"/>
          <w:szCs w:val="32"/>
        </w:rPr>
        <w:t>完成粮食检测，出具</w:t>
      </w:r>
      <w:r>
        <w:rPr>
          <w:rFonts w:hint="eastAsia" w:ascii="仿宋" w:hAnsi="仿宋" w:eastAsia="仿宋" w:cs="仿宋"/>
          <w:color w:val="000000"/>
          <w:kern w:val="0"/>
          <w:sz w:val="32"/>
          <w:szCs w:val="32"/>
          <w:lang w:val="en-US" w:eastAsia="zh-CN"/>
        </w:rPr>
        <w:t>了</w:t>
      </w:r>
      <w:r>
        <w:rPr>
          <w:rFonts w:hint="eastAsia" w:ascii="仿宋" w:hAnsi="仿宋" w:eastAsia="仿宋" w:cs="仿宋"/>
          <w:color w:val="000000"/>
          <w:kern w:val="0"/>
          <w:sz w:val="32"/>
          <w:szCs w:val="32"/>
        </w:rPr>
        <w:t>检测报告</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：完成粮食质量检验和粮食储备，确保原粮供应不断档，实现我县粮食供应安全保障能力提升和粮食质量安全的社会效益；</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粮食质量监测体系建设经费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color w:val="000000"/>
          <w:kern w:val="0"/>
          <w:sz w:val="32"/>
          <w:szCs w:val="32"/>
          <w:lang w:val="en-US" w:eastAsia="zh-CN"/>
        </w:rPr>
        <w:t>检查和抽查10次；</w:t>
      </w:r>
      <w:r>
        <w:rPr>
          <w:rFonts w:hint="eastAsia" w:ascii="仿宋" w:hAnsi="仿宋" w:eastAsia="仿宋" w:cs="仿宋"/>
          <w:color w:val="000000"/>
          <w:kern w:val="0"/>
          <w:sz w:val="32"/>
          <w:szCs w:val="32"/>
          <w:lang w:eastAsia="zh-CN"/>
        </w:rPr>
        <w:t>验收合格</w:t>
      </w:r>
      <w:r>
        <w:rPr>
          <w:rFonts w:hint="eastAsia" w:ascii="仿宋" w:hAnsi="仿宋" w:eastAsia="仿宋" w:cs="仿宋"/>
          <w:color w:val="000000"/>
          <w:kern w:val="0"/>
          <w:sz w:val="32"/>
          <w:szCs w:val="32"/>
          <w:lang w:val="en-US" w:eastAsia="zh-CN"/>
        </w:rPr>
        <w:t>率100%；已于12月13日完成了粮食质量监测，完善了相关制度；</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完成了定期不定期对粮食质量的监测，完善了相关制度，保证承储企业的原粮存储的安全</w:t>
      </w:r>
      <w:r>
        <w:rPr>
          <w:rFonts w:hint="eastAsia" w:ascii="仿宋" w:hAnsi="仿宋" w:eastAsia="仿宋" w:cs="仿宋"/>
          <w:sz w:val="32"/>
          <w:szCs w:val="32"/>
          <w:lang w:val="en-US" w:eastAsia="zh-CN"/>
        </w:rPr>
        <w:t>的社会效益</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粮食流通监督检查经费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color w:val="000000"/>
          <w:kern w:val="0"/>
          <w:sz w:val="32"/>
          <w:szCs w:val="32"/>
          <w:lang w:eastAsia="zh-CN"/>
        </w:rPr>
        <w:t>检查和抽查</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次；</w:t>
      </w:r>
      <w:r>
        <w:rPr>
          <w:rFonts w:hint="eastAsia" w:ascii="仿宋" w:hAnsi="仿宋" w:eastAsia="仿宋" w:cs="仿宋"/>
          <w:kern w:val="0"/>
          <w:sz w:val="32"/>
          <w:szCs w:val="32"/>
          <w:lang w:val="en-US" w:eastAsia="zh-CN"/>
        </w:rPr>
        <w:t>执法检查结果准确率100%；</w:t>
      </w:r>
      <w:r>
        <w:rPr>
          <w:rFonts w:hint="eastAsia" w:ascii="仿宋" w:hAnsi="仿宋" w:eastAsia="仿宋" w:cs="仿宋"/>
          <w:color w:val="000000"/>
          <w:kern w:val="0"/>
          <w:sz w:val="32"/>
          <w:szCs w:val="32"/>
          <w:lang w:val="en-US" w:eastAsia="zh-CN"/>
        </w:rPr>
        <w:t>已于12月13日完成了</w:t>
      </w:r>
      <w:r>
        <w:rPr>
          <w:rFonts w:hint="eastAsia" w:ascii="仿宋" w:hAnsi="仿宋" w:eastAsia="仿宋" w:cs="仿宋"/>
          <w:color w:val="000000"/>
          <w:kern w:val="0"/>
          <w:sz w:val="32"/>
          <w:szCs w:val="32"/>
          <w:lang w:eastAsia="zh-CN"/>
        </w:rPr>
        <w:t>粮食流通监督检查；</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通过定期不定期对粮食流通活动的检查，保证承担原粮储备企业规范经营，按期轮换，按期收储，最大程度保证农民权益</w:t>
      </w:r>
      <w:r>
        <w:rPr>
          <w:rFonts w:hint="eastAsia" w:ascii="仿宋" w:hAnsi="仿宋" w:eastAsia="仿宋" w:cs="仿宋"/>
          <w:sz w:val="32"/>
          <w:szCs w:val="32"/>
          <w:lang w:val="en-US" w:eastAsia="zh-CN"/>
        </w:rPr>
        <w:t>；</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rPr>
        <w:t>认证中心评估经费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val="en-US" w:eastAsia="zh-CN"/>
        </w:rPr>
        <w:t>出具</w:t>
      </w:r>
      <w:r>
        <w:rPr>
          <w:rFonts w:hint="eastAsia" w:ascii="仿宋" w:hAnsi="仿宋" w:eastAsia="仿宋" w:cs="仿宋"/>
          <w:color w:val="000000"/>
          <w:kern w:val="0"/>
          <w:sz w:val="32"/>
          <w:szCs w:val="32"/>
        </w:rPr>
        <w:t>价格认定结论书</w:t>
      </w:r>
      <w:r>
        <w:rPr>
          <w:rFonts w:hint="eastAsia" w:ascii="仿宋" w:hAnsi="仿宋" w:eastAsia="仿宋" w:cs="仿宋"/>
          <w:color w:val="000000"/>
          <w:kern w:val="0"/>
          <w:sz w:val="32"/>
          <w:szCs w:val="32"/>
          <w:lang w:val="en-US" w:eastAsia="zh-CN"/>
        </w:rPr>
        <w:t>70件；</w:t>
      </w:r>
      <w:r>
        <w:rPr>
          <w:rFonts w:hint="eastAsia" w:ascii="仿宋" w:hAnsi="仿宋" w:eastAsia="仿宋" w:cs="仿宋"/>
          <w:color w:val="000000"/>
          <w:kern w:val="0"/>
          <w:sz w:val="32"/>
          <w:szCs w:val="32"/>
        </w:rPr>
        <w:t>价格认定案件办结率</w:t>
      </w:r>
      <w:r>
        <w:rPr>
          <w:rFonts w:hint="eastAsia" w:ascii="仿宋" w:hAnsi="仿宋" w:eastAsia="仿宋" w:cs="仿宋"/>
          <w:color w:val="000000"/>
          <w:kern w:val="0"/>
          <w:sz w:val="32"/>
          <w:szCs w:val="32"/>
          <w:lang w:val="en-US" w:eastAsia="zh-CN"/>
        </w:rPr>
        <w:t>100%；接收的价格认定协助申请，均已完成价格调研，出具了价格认定结论书；</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做好涉案财物的价格认定，为打击犯罪起到积极稳定</w:t>
      </w:r>
      <w:r>
        <w:rPr>
          <w:rFonts w:hint="eastAsia" w:ascii="仿宋" w:hAnsi="仿宋" w:eastAsia="仿宋" w:cs="仿宋"/>
          <w:sz w:val="32"/>
          <w:szCs w:val="32"/>
          <w:lang w:val="en-US" w:eastAsia="zh-CN"/>
        </w:rPr>
        <w:t>的社会效益</w:t>
      </w:r>
      <w:r>
        <w:rPr>
          <w:rFonts w:hint="eastAsia" w:ascii="仿宋" w:hAnsi="仿宋" w:eastAsia="仿宋" w:cs="仿宋"/>
          <w:sz w:val="32"/>
          <w:szCs w:val="32"/>
          <w:lang w:eastAsia="zh-CN"/>
        </w:rPr>
        <w:t>；为司法机关办理相关案件、为行政工作提供依据，保障司法、行政工作顺利进行，对维护社会稳定方面有长远影响，</w:t>
      </w:r>
      <w:r>
        <w:rPr>
          <w:rFonts w:hint="eastAsia" w:ascii="仿宋" w:hAnsi="仿宋" w:eastAsia="仿宋" w:cs="仿宋"/>
          <w:sz w:val="32"/>
          <w:szCs w:val="32"/>
          <w:lang w:val="en-US" w:eastAsia="zh-CN"/>
        </w:rPr>
        <w:t>服务对象满意度95%</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rPr>
        <w:t>商贸流通药品流通监管业务费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color w:val="000000"/>
          <w:kern w:val="0"/>
          <w:sz w:val="32"/>
          <w:szCs w:val="32"/>
          <w:lang w:val="en-US" w:eastAsia="zh-CN"/>
        </w:rPr>
        <w:t>调查以及统计企业药品流通情况230户；</w:t>
      </w:r>
      <w:r>
        <w:rPr>
          <w:rFonts w:hint="eastAsia" w:ascii="仿宋" w:hAnsi="仿宋" w:eastAsia="仿宋" w:cs="仿宋"/>
          <w:color w:val="000000"/>
          <w:kern w:val="0"/>
          <w:sz w:val="32"/>
          <w:szCs w:val="32"/>
        </w:rPr>
        <w:t>药品流通量</w:t>
      </w:r>
      <w:r>
        <w:rPr>
          <w:rFonts w:hint="eastAsia" w:ascii="仿宋" w:hAnsi="仿宋" w:eastAsia="仿宋" w:cs="仿宋"/>
          <w:color w:val="000000"/>
          <w:kern w:val="0"/>
          <w:sz w:val="32"/>
          <w:szCs w:val="32"/>
          <w:lang w:val="en-US" w:eastAsia="zh-CN"/>
        </w:rPr>
        <w:t>统计准确率85%；已于12月底完成；</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rPr>
        <w:t>监管药品质量，起到了保障群众药品用药安全的社会效益；有掌握药品流通数据的可持续影响；</w:t>
      </w:r>
      <w:r>
        <w:rPr>
          <w:rFonts w:hint="eastAsia" w:ascii="仿宋" w:hAnsi="仿宋" w:eastAsia="仿宋" w:cs="仿宋"/>
          <w:sz w:val="32"/>
          <w:szCs w:val="32"/>
          <w:lang w:val="en-US" w:eastAsia="zh-CN"/>
        </w:rPr>
        <w:t>服务对象满意度80%。</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w:t>
      </w:r>
      <w:r>
        <w:rPr>
          <w:rFonts w:hint="eastAsia" w:ascii="仿宋" w:hAnsi="仿宋" w:eastAsia="仿宋" w:cs="仿宋"/>
          <w:sz w:val="32"/>
          <w:szCs w:val="32"/>
        </w:rPr>
        <w:t>商贸洽谈会</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eastAsia="zh-CN"/>
        </w:rPr>
        <w:t>举办商贸洽谈推介会</w:t>
      </w:r>
      <w:r>
        <w:rPr>
          <w:rFonts w:hint="eastAsia" w:ascii="仿宋" w:hAnsi="仿宋" w:eastAsia="仿宋" w:cs="仿宋"/>
          <w:color w:val="000000"/>
          <w:kern w:val="0"/>
          <w:sz w:val="32"/>
          <w:szCs w:val="32"/>
          <w:lang w:val="en-US" w:eastAsia="zh-CN"/>
        </w:rPr>
        <w:t>1次；参会企业20家；已于12月底完成；</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：通过项目实施进行对外宣传，学习先进经验，</w:t>
      </w:r>
      <w:r>
        <w:rPr>
          <w:rFonts w:hint="eastAsia" w:ascii="仿宋" w:hAnsi="仿宋" w:eastAsia="仿宋" w:cs="仿宋"/>
          <w:color w:val="000000"/>
          <w:kern w:val="0"/>
          <w:sz w:val="32"/>
          <w:szCs w:val="32"/>
          <w:lang w:val="en-US" w:eastAsia="zh-CN"/>
        </w:rPr>
        <w:t>促进大型企业落户香河，起到推动香河地区经济发展的社会效益；起到带动地区经济发展的经济效益；通过项目实施带动当地上下游企业发展，推动地区持续发展；</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rPr>
        <w:t>社会粮食统计调查经费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color w:val="000000"/>
          <w:kern w:val="0"/>
          <w:sz w:val="32"/>
          <w:szCs w:val="32"/>
          <w:lang w:eastAsia="zh-CN"/>
        </w:rPr>
        <w:t>抽查调查</w:t>
      </w:r>
      <w:r>
        <w:rPr>
          <w:rFonts w:hint="eastAsia" w:ascii="仿宋" w:hAnsi="仿宋" w:eastAsia="仿宋" w:cs="仿宋"/>
          <w:color w:val="000000"/>
          <w:kern w:val="0"/>
          <w:sz w:val="32"/>
          <w:szCs w:val="32"/>
          <w:lang w:val="en-US" w:eastAsia="zh-CN"/>
        </w:rPr>
        <w:t>55户；</w:t>
      </w:r>
      <w:r>
        <w:rPr>
          <w:rFonts w:hint="eastAsia" w:ascii="仿宋" w:hAnsi="仿宋" w:eastAsia="仿宋" w:cs="仿宋"/>
          <w:color w:val="000000"/>
          <w:kern w:val="0"/>
          <w:sz w:val="32"/>
          <w:szCs w:val="32"/>
          <w:lang w:eastAsia="zh-CN"/>
        </w:rPr>
        <w:t>数据全面性准确率</w:t>
      </w:r>
      <w:r>
        <w:rPr>
          <w:rFonts w:hint="eastAsia" w:ascii="仿宋" w:hAnsi="仿宋" w:eastAsia="仿宋" w:cs="仿宋"/>
          <w:color w:val="000000"/>
          <w:kern w:val="0"/>
          <w:sz w:val="32"/>
          <w:szCs w:val="32"/>
          <w:lang w:val="en-US" w:eastAsia="zh-CN"/>
        </w:rPr>
        <w:t>100%；按照工作计划，已于3月前制定出工作计划，于6月底前完成了下户、下企业调查工作，于12月底完成了工作报告；</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eastAsia="zh-CN"/>
        </w:rPr>
        <w:t>掌握</w:t>
      </w:r>
      <w:r>
        <w:rPr>
          <w:rFonts w:hint="eastAsia" w:ascii="仿宋" w:hAnsi="仿宋" w:eastAsia="仿宋" w:cs="仿宋"/>
          <w:color w:val="000000"/>
          <w:kern w:val="0"/>
          <w:sz w:val="32"/>
          <w:szCs w:val="32"/>
          <w:lang w:val="en-US" w:eastAsia="zh-CN"/>
        </w:rPr>
        <w:t>了</w:t>
      </w:r>
      <w:r>
        <w:rPr>
          <w:rFonts w:hint="eastAsia" w:ascii="仿宋" w:hAnsi="仿宋" w:eastAsia="仿宋" w:cs="仿宋"/>
          <w:color w:val="000000"/>
          <w:kern w:val="0"/>
          <w:sz w:val="32"/>
          <w:szCs w:val="32"/>
          <w:lang w:eastAsia="zh-CN"/>
        </w:rPr>
        <w:t>全县粮油供需平衡的数据，为决策提供</w:t>
      </w:r>
      <w:r>
        <w:rPr>
          <w:rFonts w:hint="eastAsia" w:ascii="仿宋" w:hAnsi="仿宋" w:eastAsia="仿宋" w:cs="仿宋"/>
          <w:color w:val="000000"/>
          <w:kern w:val="0"/>
          <w:sz w:val="32"/>
          <w:szCs w:val="32"/>
          <w:lang w:val="en-US" w:eastAsia="zh-CN"/>
        </w:rPr>
        <w:t>了</w:t>
      </w:r>
      <w:r>
        <w:rPr>
          <w:rFonts w:hint="eastAsia" w:ascii="仿宋" w:hAnsi="仿宋" w:eastAsia="仿宋" w:cs="仿宋"/>
          <w:color w:val="000000"/>
          <w:kern w:val="0"/>
          <w:sz w:val="32"/>
          <w:szCs w:val="32"/>
          <w:lang w:eastAsia="zh-CN"/>
        </w:rPr>
        <w:t>数据支撑，</w:t>
      </w:r>
      <w:r>
        <w:rPr>
          <w:rFonts w:hint="eastAsia" w:ascii="仿宋" w:hAnsi="仿宋" w:eastAsia="仿宋" w:cs="仿宋"/>
          <w:color w:val="000000"/>
          <w:kern w:val="0"/>
          <w:sz w:val="32"/>
          <w:szCs w:val="32"/>
          <w:lang w:val="en-US" w:eastAsia="zh-CN"/>
        </w:rPr>
        <w:t>起到了为</w:t>
      </w:r>
      <w:r>
        <w:rPr>
          <w:rFonts w:hint="eastAsia" w:ascii="仿宋" w:hAnsi="仿宋" w:eastAsia="仿宋" w:cs="仿宋"/>
          <w:color w:val="000000"/>
          <w:kern w:val="0"/>
          <w:sz w:val="32"/>
          <w:szCs w:val="32"/>
          <w:lang w:eastAsia="zh-CN"/>
        </w:rPr>
        <w:t>决策科学性</w:t>
      </w:r>
      <w:r>
        <w:rPr>
          <w:rFonts w:hint="eastAsia" w:ascii="仿宋" w:hAnsi="仿宋" w:eastAsia="仿宋" w:cs="仿宋"/>
          <w:color w:val="000000"/>
          <w:kern w:val="0"/>
          <w:sz w:val="32"/>
          <w:szCs w:val="32"/>
          <w:lang w:val="en-US" w:eastAsia="zh-CN"/>
        </w:rPr>
        <w:t>提供了有效保障的社会效益；</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w:t>
      </w:r>
      <w:r>
        <w:rPr>
          <w:rFonts w:hint="eastAsia" w:ascii="仿宋" w:hAnsi="仿宋" w:eastAsia="仿宋" w:cs="仿宋"/>
          <w:sz w:val="32"/>
          <w:szCs w:val="32"/>
        </w:rPr>
        <w:t>省重点项目申报经费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完成</w:t>
      </w:r>
      <w:r>
        <w:rPr>
          <w:rFonts w:hint="eastAsia" w:ascii="仿宋" w:hAnsi="仿宋" w:eastAsia="仿宋" w:cs="仿宋"/>
          <w:color w:val="000000"/>
          <w:kern w:val="0"/>
          <w:sz w:val="32"/>
          <w:szCs w:val="32"/>
          <w:lang w:eastAsia="zh-CN"/>
        </w:rPr>
        <w:t>省重点项目</w:t>
      </w:r>
      <w:r>
        <w:rPr>
          <w:rFonts w:hint="eastAsia" w:ascii="仿宋" w:hAnsi="仿宋" w:eastAsia="仿宋" w:cs="仿宋"/>
          <w:color w:val="000000"/>
          <w:kern w:val="0"/>
          <w:sz w:val="32"/>
          <w:szCs w:val="32"/>
          <w:lang w:val="en-US" w:eastAsia="zh-CN"/>
        </w:rPr>
        <w:t>4个；</w:t>
      </w:r>
      <w:r>
        <w:rPr>
          <w:rFonts w:hint="eastAsia" w:ascii="仿宋" w:hAnsi="仿宋" w:eastAsia="仿宋" w:cs="仿宋"/>
          <w:color w:val="000000"/>
          <w:kern w:val="0"/>
          <w:sz w:val="32"/>
          <w:szCs w:val="32"/>
          <w:lang w:eastAsia="zh-CN"/>
        </w:rPr>
        <w:t>符合条件的项目申报率</w:t>
      </w:r>
      <w:r>
        <w:rPr>
          <w:rFonts w:hint="eastAsia" w:ascii="仿宋" w:hAnsi="仿宋" w:eastAsia="仿宋" w:cs="仿宋"/>
          <w:color w:val="000000"/>
          <w:kern w:val="0"/>
          <w:sz w:val="32"/>
          <w:szCs w:val="32"/>
          <w:lang w:val="en-US" w:eastAsia="zh-CN"/>
        </w:rPr>
        <w:t>为30%；已于2019年11月13日完成了重点项目申报；</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：起到了</w:t>
      </w:r>
      <w:r>
        <w:rPr>
          <w:rFonts w:hint="eastAsia" w:ascii="仿宋" w:hAnsi="仿宋" w:eastAsia="仿宋" w:cs="仿宋"/>
          <w:color w:val="000000"/>
          <w:kern w:val="0"/>
          <w:sz w:val="32"/>
          <w:szCs w:val="32"/>
          <w:lang w:val="en-US" w:eastAsia="zh-CN"/>
        </w:rPr>
        <w:t>提高</w:t>
      </w:r>
      <w:r>
        <w:rPr>
          <w:rFonts w:hint="eastAsia" w:ascii="仿宋" w:hAnsi="仿宋" w:eastAsia="仿宋" w:cs="仿宋"/>
          <w:color w:val="000000"/>
          <w:kern w:val="0"/>
          <w:sz w:val="32"/>
          <w:szCs w:val="32"/>
          <w:lang w:eastAsia="zh-CN"/>
        </w:rPr>
        <w:t>办理审批手续，确保重点项目顺利实施</w:t>
      </w:r>
      <w:r>
        <w:rPr>
          <w:rFonts w:hint="eastAsia" w:ascii="仿宋" w:hAnsi="仿宋" w:eastAsia="仿宋" w:cs="仿宋"/>
          <w:color w:val="000000"/>
          <w:kern w:val="0"/>
          <w:sz w:val="32"/>
          <w:szCs w:val="32"/>
          <w:lang w:val="en-US" w:eastAsia="zh-CN"/>
        </w:rPr>
        <w:t>的社会效益</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lang w:val="en-US" w:eastAsia="zh-CN"/>
        </w:rPr>
        <w:t>服务对象满意度90%</w:t>
      </w:r>
      <w:r>
        <w:rPr>
          <w:rFonts w:hint="eastAsia" w:ascii="仿宋" w:hAnsi="仿宋" w:eastAsia="仿宋" w:cs="仿宋"/>
          <w:color w:val="000000"/>
          <w:kern w:val="0"/>
          <w:sz w:val="32"/>
          <w:szCs w:val="32"/>
          <w:lang w:eastAsia="zh-CN"/>
        </w:rPr>
        <w:t>。</w:t>
      </w:r>
    </w:p>
    <w:p>
      <w:pPr>
        <w:keepNext w:val="0"/>
        <w:keepLines w:val="0"/>
        <w:pageBreakBefore w:val="0"/>
        <w:widowControl/>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w:t>
      </w:r>
      <w:r>
        <w:rPr>
          <w:rFonts w:hint="eastAsia" w:ascii="仿宋" w:hAnsi="仿宋" w:eastAsia="仿宋" w:cs="仿宋"/>
          <w:sz w:val="32"/>
          <w:szCs w:val="32"/>
        </w:rPr>
        <w:t>“双创双服”活动资金</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开展了活动5次，印刷了活动工作简报及其他资料2000份；</w:t>
      </w:r>
      <w:r>
        <w:rPr>
          <w:rFonts w:hint="eastAsia" w:ascii="仿宋" w:hAnsi="仿宋" w:eastAsia="仿宋" w:cs="仿宋"/>
          <w:color w:val="000000"/>
          <w:kern w:val="0"/>
          <w:sz w:val="32"/>
          <w:szCs w:val="32"/>
        </w:rPr>
        <w:t>各项任务达到年度目标要求标准</w:t>
      </w:r>
      <w:r>
        <w:rPr>
          <w:rFonts w:hint="eastAsia" w:ascii="仿宋" w:hAnsi="仿宋" w:eastAsia="仿宋" w:cs="仿宋"/>
          <w:color w:val="000000"/>
          <w:kern w:val="0"/>
          <w:sz w:val="32"/>
          <w:szCs w:val="32"/>
          <w:lang w:val="en-US" w:eastAsia="zh-CN"/>
        </w:rPr>
        <w:t>100%；已于12月底完成项目具体实施及项目工作总结；</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：起到了服务民生，优化营商环境情况，</w:t>
      </w:r>
      <w:r>
        <w:rPr>
          <w:rFonts w:hint="eastAsia" w:ascii="仿宋" w:hAnsi="仿宋" w:eastAsia="仿宋" w:cs="仿宋"/>
          <w:color w:val="000000"/>
          <w:kern w:val="0"/>
          <w:sz w:val="32"/>
          <w:szCs w:val="32"/>
          <w:lang w:val="en-US" w:eastAsia="zh-CN"/>
        </w:rPr>
        <w:t>解决了政策解读不到位、企业减负不明显等问题情况，努力营造便商重商、亲商重商的浓厚氛围的社会效益；起到改善营商环境，服务发展，服务民生的深远影响；</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w:t>
      </w:r>
      <w:r>
        <w:rPr>
          <w:rFonts w:hint="eastAsia" w:ascii="仿宋" w:hAnsi="仿宋" w:eastAsia="仿宋" w:cs="仿宋"/>
          <w:sz w:val="32"/>
          <w:szCs w:val="32"/>
        </w:rPr>
        <w:t>招商经费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eastAsia="zh-CN"/>
        </w:rPr>
        <w:t>举办商贸洽谈推介会</w:t>
      </w:r>
      <w:r>
        <w:rPr>
          <w:rFonts w:hint="eastAsia" w:ascii="仿宋" w:hAnsi="仿宋" w:eastAsia="仿宋" w:cs="仿宋"/>
          <w:color w:val="000000"/>
          <w:kern w:val="0"/>
          <w:sz w:val="32"/>
          <w:szCs w:val="32"/>
          <w:lang w:val="en-US" w:eastAsia="zh-CN"/>
        </w:rPr>
        <w:t>1次；参会企业20家；已于12月底完成；</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：通过项目实施进行对外宣传，学习先进经验，</w:t>
      </w:r>
      <w:r>
        <w:rPr>
          <w:rFonts w:hint="eastAsia" w:ascii="仿宋" w:hAnsi="仿宋" w:eastAsia="仿宋" w:cs="仿宋"/>
          <w:color w:val="000000"/>
          <w:kern w:val="0"/>
          <w:sz w:val="32"/>
          <w:szCs w:val="32"/>
          <w:lang w:val="en-US" w:eastAsia="zh-CN"/>
        </w:rPr>
        <w:t>促进大型企业落户香河，起到推动香河地区经济发展的社会效益；起到带动地区经济发展的经济效益；通过项目实施带动当地上下游企业发展，推动地区持续发展；</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w:t>
      </w:r>
      <w:r>
        <w:rPr>
          <w:rFonts w:hint="eastAsia" w:ascii="仿宋" w:hAnsi="仿宋" w:eastAsia="仿宋" w:cs="仿宋"/>
          <w:sz w:val="32"/>
          <w:szCs w:val="32"/>
        </w:rPr>
        <w:t>政策性应急供应粮食仓储设施维修改造项目资金</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完成</w:t>
      </w:r>
      <w:r>
        <w:rPr>
          <w:rFonts w:hint="eastAsia" w:ascii="仿宋" w:hAnsi="仿宋" w:eastAsia="仿宋" w:cs="仿宋"/>
          <w:color w:val="000000"/>
          <w:kern w:val="0"/>
          <w:sz w:val="32"/>
          <w:szCs w:val="32"/>
          <w:lang w:val="en-US" w:eastAsia="zh-CN"/>
        </w:rPr>
        <w:t>1栋仓房维修；</w:t>
      </w:r>
      <w:r>
        <w:rPr>
          <w:rFonts w:hint="eastAsia" w:ascii="仿宋" w:hAnsi="仿宋" w:eastAsia="仿宋" w:cs="仿宋"/>
          <w:color w:val="000000"/>
          <w:kern w:val="0"/>
          <w:sz w:val="32"/>
          <w:szCs w:val="32"/>
          <w:lang w:eastAsia="zh-CN"/>
        </w:rPr>
        <w:t>验收合格</w:t>
      </w:r>
      <w:r>
        <w:rPr>
          <w:rFonts w:hint="eastAsia" w:ascii="仿宋" w:hAnsi="仿宋" w:eastAsia="仿宋" w:cs="仿宋"/>
          <w:color w:val="000000"/>
          <w:kern w:val="0"/>
          <w:sz w:val="32"/>
          <w:szCs w:val="32"/>
          <w:lang w:val="en-US" w:eastAsia="zh-CN"/>
        </w:rPr>
        <w:t>率100%；已于12月13日完成；</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项目已完工并投入使用，</w:t>
      </w:r>
      <w:r>
        <w:rPr>
          <w:rFonts w:hint="eastAsia" w:ascii="仿宋" w:hAnsi="仿宋" w:eastAsia="仿宋" w:cs="仿宋"/>
          <w:sz w:val="32"/>
          <w:szCs w:val="32"/>
          <w:lang w:val="en-US" w:eastAsia="zh-CN"/>
        </w:rPr>
        <w:t>起到了</w:t>
      </w:r>
      <w:r>
        <w:rPr>
          <w:rFonts w:hint="eastAsia" w:ascii="仿宋" w:hAnsi="仿宋" w:eastAsia="仿宋" w:cs="仿宋"/>
          <w:sz w:val="32"/>
          <w:szCs w:val="32"/>
          <w:lang w:eastAsia="zh-CN"/>
        </w:rPr>
        <w:t>保证承储企业的原粮存储的安全</w:t>
      </w:r>
      <w:r>
        <w:rPr>
          <w:rFonts w:hint="eastAsia" w:ascii="仿宋" w:hAnsi="仿宋" w:eastAsia="仿宋" w:cs="仿宋"/>
          <w:sz w:val="32"/>
          <w:szCs w:val="32"/>
          <w:lang w:val="en-US" w:eastAsia="zh-CN"/>
        </w:rPr>
        <w:t>的社会效益</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rPr>
        <w:t>对粮食市场的秩序维护有深远影响；</w:t>
      </w:r>
      <w:r>
        <w:rPr>
          <w:rFonts w:hint="eastAsia" w:ascii="仿宋" w:hAnsi="仿宋" w:eastAsia="仿宋" w:cs="仿宋"/>
          <w:sz w:val="32"/>
          <w:szCs w:val="32"/>
          <w:lang w:val="en-US" w:eastAsia="zh-CN"/>
        </w:rPr>
        <w:t>服务对象满意度90%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rPr>
        <w:t>政府投资项目可研评审费用</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开展项目可研评审20个，</w:t>
      </w:r>
      <w:r>
        <w:rPr>
          <w:rFonts w:hint="eastAsia" w:ascii="仿宋" w:hAnsi="仿宋" w:eastAsia="仿宋" w:cs="仿宋"/>
          <w:color w:val="000000"/>
          <w:kern w:val="0"/>
          <w:sz w:val="32"/>
          <w:szCs w:val="32"/>
          <w:lang w:eastAsia="zh-CN"/>
        </w:rPr>
        <w:t>评审通过率</w:t>
      </w:r>
      <w:r>
        <w:rPr>
          <w:rFonts w:hint="eastAsia" w:ascii="仿宋" w:hAnsi="仿宋" w:eastAsia="仿宋" w:cs="仿宋"/>
          <w:color w:val="000000"/>
          <w:kern w:val="0"/>
          <w:sz w:val="32"/>
          <w:szCs w:val="32"/>
          <w:lang w:val="en-US" w:eastAsia="zh-CN"/>
        </w:rPr>
        <w:t>100%；2019年11月底已完成；</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rPr>
        <w:t>可以确保政府投资项目科学化、合理化，起到了能够保障资金使用效率的社会效益；有一年以上的可持续影响；</w:t>
      </w:r>
      <w:r>
        <w:rPr>
          <w:rFonts w:hint="eastAsia" w:ascii="仿宋" w:hAnsi="仿宋" w:eastAsia="仿宋" w:cs="仿宋"/>
          <w:sz w:val="32"/>
          <w:szCs w:val="32"/>
          <w:lang w:val="en-US" w:eastAsia="zh-CN"/>
        </w:rPr>
        <w:t>服务对象满意度100%。</w:t>
      </w:r>
    </w:p>
    <w:p>
      <w:pPr>
        <w:keepNext w:val="0"/>
        <w:keepLines w:val="0"/>
        <w:pageBreakBefore w:val="0"/>
        <w:widowControl/>
        <w:kinsoku/>
        <w:wordWrap/>
        <w:overflowPunct/>
        <w:topLinePunct w:val="0"/>
        <w:bidi w:val="0"/>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rPr>
        <w:t>执法机构经费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eastAsia="zh-CN"/>
        </w:rPr>
        <w:t>完成</w:t>
      </w:r>
      <w:r>
        <w:rPr>
          <w:rFonts w:hint="eastAsia" w:ascii="仿宋" w:hAnsi="仿宋" w:eastAsia="仿宋" w:cs="仿宋"/>
          <w:color w:val="000000"/>
          <w:kern w:val="0"/>
          <w:sz w:val="32"/>
          <w:szCs w:val="32"/>
        </w:rPr>
        <w:t>全县加油站、加油点</w:t>
      </w:r>
      <w:r>
        <w:rPr>
          <w:rFonts w:hint="eastAsia" w:ascii="仿宋" w:hAnsi="仿宋" w:eastAsia="仿宋" w:cs="仿宋"/>
          <w:color w:val="000000"/>
          <w:kern w:val="0"/>
          <w:sz w:val="32"/>
          <w:szCs w:val="32"/>
          <w:lang w:eastAsia="zh-CN"/>
        </w:rPr>
        <w:t>检查</w:t>
      </w:r>
      <w:r>
        <w:rPr>
          <w:rFonts w:hint="eastAsia" w:ascii="仿宋" w:hAnsi="仿宋" w:eastAsia="仿宋" w:cs="仿宋"/>
          <w:color w:val="000000"/>
          <w:kern w:val="0"/>
          <w:sz w:val="32"/>
          <w:szCs w:val="32"/>
          <w:lang w:val="en-US" w:eastAsia="zh-CN"/>
        </w:rPr>
        <w:t>180户；</w:t>
      </w:r>
      <w:r>
        <w:rPr>
          <w:rFonts w:hint="eastAsia" w:ascii="仿宋" w:hAnsi="仿宋" w:eastAsia="仿宋" w:cs="仿宋"/>
          <w:color w:val="000000"/>
          <w:kern w:val="0"/>
          <w:sz w:val="32"/>
          <w:szCs w:val="32"/>
        </w:rPr>
        <w:t>全年所需检查的加油站、点和大型超市完成率</w:t>
      </w:r>
      <w:r>
        <w:rPr>
          <w:rFonts w:hint="eastAsia" w:ascii="仿宋" w:hAnsi="仿宋" w:eastAsia="仿宋" w:cs="仿宋"/>
          <w:color w:val="000000"/>
          <w:kern w:val="0"/>
          <w:sz w:val="32"/>
          <w:szCs w:val="32"/>
          <w:lang w:val="en-US" w:eastAsia="zh-CN"/>
        </w:rPr>
        <w:t>100%；已于12月底完成；</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rPr>
        <w:t>通过对成品油市场的监督管理，起到了保护消费者合法权益，维护市场秩序的社会效益；</w:t>
      </w:r>
      <w:r>
        <w:rPr>
          <w:rFonts w:hint="eastAsia" w:ascii="仿宋" w:hAnsi="仿宋" w:eastAsia="仿宋" w:cs="仿宋"/>
          <w:sz w:val="32"/>
          <w:szCs w:val="32"/>
          <w:lang w:val="en-US" w:eastAsia="zh-CN"/>
        </w:rPr>
        <w:t>服务对象满意度90%。</w:t>
      </w:r>
    </w:p>
    <w:p>
      <w:pPr>
        <w:keepNext w:val="0"/>
        <w:keepLines w:val="0"/>
        <w:pageBreakBefore w:val="0"/>
        <w:widowControl/>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rPr>
        <w:t>省重点项目电子台账专项经费</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rPr>
        <w:t>部门产出情况</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完成</w:t>
      </w:r>
      <w:r>
        <w:rPr>
          <w:rFonts w:hint="eastAsia" w:ascii="仿宋" w:hAnsi="仿宋" w:eastAsia="仿宋" w:cs="仿宋"/>
          <w:color w:val="000000"/>
          <w:kern w:val="0"/>
          <w:sz w:val="32"/>
          <w:szCs w:val="32"/>
          <w:lang w:eastAsia="zh-CN"/>
        </w:rPr>
        <w:t>省重点项目</w:t>
      </w:r>
      <w:r>
        <w:rPr>
          <w:rFonts w:hint="eastAsia" w:ascii="仿宋" w:hAnsi="仿宋" w:eastAsia="仿宋" w:cs="仿宋"/>
          <w:color w:val="000000"/>
          <w:kern w:val="0"/>
          <w:sz w:val="32"/>
          <w:szCs w:val="32"/>
          <w:lang w:val="en-US" w:eastAsia="zh-CN"/>
        </w:rPr>
        <w:t>4个；及时跟踪了项目情况，提高了工作效率；已于2019年11月13日完成了重点项目申报；</w:t>
      </w:r>
      <w:r>
        <w:rPr>
          <w:rFonts w:hint="eastAsia" w:ascii="仿宋" w:hAnsi="仿宋" w:eastAsia="仿宋" w:cs="仿宋"/>
          <w:color w:val="000000" w:themeColor="text1"/>
          <w:sz w:val="32"/>
          <w:szCs w:val="32"/>
          <w:lang w:val="en-US" w:eastAsia="zh-CN"/>
        </w:rPr>
        <w:t>履职成本达标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部门效果情况</w:t>
      </w:r>
      <w:r>
        <w:rPr>
          <w:rFonts w:hint="eastAsia" w:ascii="仿宋" w:hAnsi="仿宋" w:eastAsia="仿宋" w:cs="仿宋"/>
          <w:sz w:val="32"/>
          <w:szCs w:val="32"/>
          <w:lang w:val="en-US" w:eastAsia="zh-CN"/>
        </w:rPr>
        <w:t>：起到了</w:t>
      </w:r>
      <w:r>
        <w:rPr>
          <w:rFonts w:hint="eastAsia" w:ascii="仿宋" w:hAnsi="仿宋" w:eastAsia="仿宋" w:cs="仿宋"/>
          <w:color w:val="000000"/>
          <w:kern w:val="0"/>
          <w:sz w:val="32"/>
          <w:szCs w:val="32"/>
          <w:lang w:val="en-US" w:eastAsia="zh-CN"/>
        </w:rPr>
        <w:t>提高</w:t>
      </w:r>
      <w:r>
        <w:rPr>
          <w:rFonts w:hint="eastAsia" w:ascii="仿宋" w:hAnsi="仿宋" w:eastAsia="仿宋" w:cs="仿宋"/>
          <w:color w:val="000000"/>
          <w:kern w:val="0"/>
          <w:sz w:val="32"/>
          <w:szCs w:val="32"/>
          <w:lang w:eastAsia="zh-CN"/>
        </w:rPr>
        <w:t>办理审批手续，确保重点项目顺利实施</w:t>
      </w:r>
      <w:r>
        <w:rPr>
          <w:rFonts w:hint="eastAsia" w:ascii="仿宋" w:hAnsi="仿宋" w:eastAsia="仿宋" w:cs="仿宋"/>
          <w:color w:val="000000"/>
          <w:kern w:val="0"/>
          <w:sz w:val="32"/>
          <w:szCs w:val="32"/>
          <w:lang w:val="en-US" w:eastAsia="zh-CN"/>
        </w:rPr>
        <w:t>的社会效益</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lang w:val="en-US" w:eastAsia="zh-CN"/>
        </w:rPr>
        <w:t>服务对象满意度90%。</w:t>
      </w:r>
    </w:p>
    <w:p>
      <w:pPr>
        <w:keepNext w:val="0"/>
        <w:keepLines w:val="0"/>
        <w:pageBreakBefore w:val="0"/>
        <w:widowControl/>
        <w:kinsoku/>
        <w:wordWrap/>
        <w:overflowPunct/>
        <w:topLinePunct w:val="0"/>
        <w:autoSpaceDE w:val="0"/>
        <w:autoSpaceDN w:val="0"/>
        <w:bidi w:val="0"/>
        <w:adjustRightInd w:val="0"/>
        <w:snapToGrid/>
        <w:spacing w:line="500" w:lineRule="exact"/>
        <w:ind w:firstLine="643" w:firstLineChars="200"/>
        <w:textAlignment w:val="auto"/>
        <w:rPr>
          <w:rFonts w:hint="eastAsia" w:ascii="仿宋" w:hAnsi="仿宋" w:eastAsia="仿宋" w:cs="仿宋"/>
          <w:b/>
          <w:bCs/>
          <w:color w:val="000000" w:themeColor="text1"/>
          <w:sz w:val="32"/>
          <w:szCs w:val="32"/>
          <w:lang w:eastAsia="zh-CN"/>
        </w:rPr>
      </w:pPr>
      <w:r>
        <w:rPr>
          <w:rFonts w:hint="eastAsia" w:ascii="仿宋" w:hAnsi="仿宋" w:eastAsia="仿宋" w:cs="仿宋"/>
          <w:b/>
          <w:bCs/>
          <w:color w:val="000000" w:themeColor="text1"/>
          <w:sz w:val="32"/>
          <w:szCs w:val="32"/>
          <w:lang w:eastAsia="zh-CN"/>
        </w:rPr>
        <w:t>三、部门（单位）整体绩效评价存在问题及改进措施</w:t>
      </w:r>
    </w:p>
    <w:p>
      <w:pPr>
        <w:keepNext w:val="0"/>
        <w:keepLines w:val="0"/>
        <w:pageBreakBefore w:val="0"/>
        <w:widowControl/>
        <w:kinsoku/>
        <w:wordWrap/>
        <w:overflowPunct/>
        <w:topLinePunct w:val="0"/>
        <w:autoSpaceDE w:val="0"/>
        <w:autoSpaceDN w:val="0"/>
        <w:bidi w:val="0"/>
        <w:adjustRightInd w:val="0"/>
        <w:snapToGrid/>
        <w:spacing w:line="500" w:lineRule="exact"/>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（一）主要问题及原因分析</w:t>
      </w:r>
    </w:p>
    <w:p>
      <w:pPr>
        <w:keepNext w:val="0"/>
        <w:keepLines w:val="0"/>
        <w:pageBreakBefore w:val="0"/>
        <w:widowControl/>
        <w:suppressLineNumbers w:val="0"/>
        <w:kinsoku/>
        <w:wordWrap/>
        <w:overflowPunct/>
        <w:topLinePunct w:val="0"/>
        <w:bidi w:val="0"/>
        <w:snapToGrid/>
        <w:spacing w:line="500" w:lineRule="exact"/>
        <w:ind w:left="638" w:leftChars="266" w:firstLine="0" w:firstLineChars="0"/>
        <w:jc w:val="left"/>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kern w:val="0"/>
          <w:sz w:val="32"/>
          <w:szCs w:val="32"/>
          <w:lang w:val="en-US" w:eastAsia="zh-CN" w:bidi="ar"/>
        </w:rPr>
        <w:t xml:space="preserve">1、绩效评价管理制度尚不健全；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 xml:space="preserve">2、对绩效评价工作认识不够；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 xml:space="preserve">3、人员素质有待提高。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sz w:val="32"/>
          <w:szCs w:val="32"/>
          <w:lang w:eastAsia="zh-CN"/>
        </w:rPr>
        <w:t>（二）改进的方向和具体措施</w:t>
      </w:r>
    </w:p>
    <w:p>
      <w:pPr>
        <w:keepNext w:val="0"/>
        <w:keepLines w:val="0"/>
        <w:pageBreakBefore w:val="0"/>
        <w:widowControl/>
        <w:suppressLineNumbers w:val="0"/>
        <w:kinsoku/>
        <w:wordWrap/>
        <w:overflowPunct/>
        <w:topLinePunct w:val="0"/>
        <w:bidi w:val="0"/>
        <w:snapToGrid/>
        <w:spacing w:line="500" w:lineRule="exact"/>
        <w:ind w:left="638" w:leftChars="266" w:firstLine="0" w:firstLineChars="0"/>
        <w:jc w:val="left"/>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kern w:val="0"/>
          <w:sz w:val="32"/>
          <w:szCs w:val="32"/>
          <w:lang w:val="en-US" w:eastAsia="zh-CN" w:bidi="ar"/>
        </w:rPr>
        <w:t xml:space="preserve">1、完善绩效评价工作制度；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 xml:space="preserve">2、加强学习培训，提升业务能力；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3、加大宣传力度，树立绩效管理概念。</w:t>
      </w:r>
    </w:p>
    <w:p>
      <w:pPr>
        <w:keepNext w:val="0"/>
        <w:keepLines w:val="0"/>
        <w:pageBreakBefore w:val="0"/>
        <w:widowControl/>
        <w:kinsoku/>
        <w:wordWrap/>
        <w:overflowPunct/>
        <w:topLinePunct w:val="0"/>
        <w:autoSpaceDE w:val="0"/>
        <w:autoSpaceDN w:val="0"/>
        <w:bidi w:val="0"/>
        <w:adjustRightInd w:val="0"/>
        <w:snapToGrid/>
        <w:spacing w:line="500" w:lineRule="exact"/>
        <w:ind w:firstLine="643" w:firstLineChars="200"/>
        <w:textAlignment w:val="auto"/>
        <w:rPr>
          <w:rFonts w:eastAsia="仿宋_GB2312"/>
          <w:b/>
          <w:bCs/>
          <w:sz w:val="32"/>
          <w:szCs w:val="32"/>
          <w:lang w:eastAsia="zh-CN"/>
        </w:rPr>
      </w:pPr>
      <w:r>
        <w:rPr>
          <w:rFonts w:eastAsia="仿宋_GB2312"/>
          <w:b/>
          <w:bCs/>
          <w:sz w:val="32"/>
          <w:szCs w:val="32"/>
          <w:lang w:eastAsia="zh-CN"/>
        </w:rPr>
        <w:t>四、绩效自评结果拟应用和公开情况</w:t>
      </w:r>
    </w:p>
    <w:p>
      <w:pPr>
        <w:keepNext w:val="0"/>
        <w:keepLines w:val="0"/>
        <w:pageBreakBefore w:val="0"/>
        <w:widowControl/>
        <w:kinsoku/>
        <w:wordWrap/>
        <w:overflowPunct/>
        <w:topLinePunct w:val="0"/>
        <w:autoSpaceDE w:val="0"/>
        <w:autoSpaceDN w:val="0"/>
        <w:bidi w:val="0"/>
        <w:adjustRightInd w:val="0"/>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2019年</w:t>
      </w:r>
      <w:r>
        <w:rPr>
          <w:rFonts w:hint="eastAsia" w:ascii="仿宋" w:hAnsi="仿宋" w:eastAsia="仿宋" w:cs="仿宋"/>
          <w:color w:val="000000"/>
          <w:sz w:val="32"/>
          <w:szCs w:val="32"/>
          <w:shd w:val="clear" w:fill="FFFFFF"/>
          <w:lang w:val="en-US" w:eastAsia="zh-CN"/>
        </w:rPr>
        <w:t>香河县发展和改革局</w:t>
      </w:r>
      <w:r>
        <w:rPr>
          <w:rFonts w:hint="eastAsia" w:ascii="仿宋" w:hAnsi="仿宋" w:eastAsia="仿宋" w:cs="仿宋"/>
          <w:color w:val="000000"/>
          <w:sz w:val="32"/>
          <w:szCs w:val="32"/>
          <w:shd w:val="clear" w:fill="FFFFFF"/>
        </w:rPr>
        <w:t>自评评分9</w:t>
      </w:r>
      <w:r>
        <w:rPr>
          <w:rFonts w:hint="eastAsia" w:ascii="仿宋" w:hAnsi="仿宋" w:eastAsia="仿宋" w:cs="仿宋"/>
          <w:color w:val="000000"/>
          <w:sz w:val="32"/>
          <w:szCs w:val="32"/>
          <w:shd w:val="clear" w:fill="FFFFFF"/>
          <w:lang w:val="en-US" w:eastAsia="zh-CN"/>
        </w:rPr>
        <w:t>9.99</w:t>
      </w:r>
      <w:r>
        <w:rPr>
          <w:rFonts w:hint="eastAsia" w:ascii="仿宋" w:hAnsi="仿宋" w:eastAsia="仿宋" w:cs="仿宋"/>
          <w:color w:val="000000"/>
          <w:sz w:val="32"/>
          <w:szCs w:val="32"/>
          <w:shd w:val="clear" w:fill="FFFFFF"/>
        </w:rPr>
        <w:t>分，</w:t>
      </w:r>
      <w:r>
        <w:rPr>
          <w:rFonts w:hint="eastAsia" w:ascii="仿宋" w:hAnsi="仿宋" w:eastAsia="仿宋" w:cs="仿宋"/>
          <w:color w:val="000000"/>
          <w:sz w:val="32"/>
          <w:szCs w:val="32"/>
          <w:shd w:val="clear" w:fill="FFFFFF"/>
          <w:lang w:val="en-US" w:eastAsia="zh-CN"/>
        </w:rPr>
        <w:t>于香河县政府</w:t>
      </w:r>
      <w:r>
        <w:rPr>
          <w:rFonts w:hint="eastAsia" w:ascii="仿宋" w:hAnsi="仿宋" w:eastAsia="仿宋" w:cs="仿宋"/>
          <w:color w:val="000000"/>
          <w:sz w:val="32"/>
          <w:szCs w:val="32"/>
          <w:shd w:val="clear" w:fill="FFFFFF"/>
        </w:rPr>
        <w:t>门户网站上公开。</w:t>
      </w:r>
      <w:r>
        <w:rPr>
          <w:rFonts w:hint="eastAsia" w:ascii="仿宋" w:hAnsi="仿宋" w:eastAsia="仿宋" w:cs="仿宋"/>
          <w:sz w:val="32"/>
          <w:szCs w:val="32"/>
          <w:shd w:val="clear" w:fill="FFFFFF"/>
        </w:rPr>
        <w:t>绩效评价结果应用，既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w:t>
      </w:r>
    </w:p>
    <w:p>
      <w:pPr>
        <w:rPr>
          <w:lang w:eastAsia="zh-CN"/>
        </w:rPr>
      </w:pPr>
    </w:p>
    <w:sectPr>
      <w:pgSz w:w="11907" w:h="16840"/>
      <w:pgMar w:top="1418" w:right="1531" w:bottom="1418" w:left="1531"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462AF"/>
    <w:multiLevelType w:val="singleLevel"/>
    <w:tmpl w:val="CF5462AF"/>
    <w:lvl w:ilvl="0" w:tentative="0">
      <w:start w:val="2"/>
      <w:numFmt w:val="chineseCounting"/>
      <w:suff w:val="nothing"/>
      <w:lvlText w:val="（%1）"/>
      <w:lvlJc w:val="left"/>
      <w:rPr>
        <w:rFonts w:hint="eastAsia"/>
      </w:rPr>
    </w:lvl>
  </w:abstractNum>
  <w:abstractNum w:abstractNumId="1">
    <w:nsid w:val="0C9E7AA3"/>
    <w:multiLevelType w:val="singleLevel"/>
    <w:tmpl w:val="0C9E7AA3"/>
    <w:lvl w:ilvl="0" w:tentative="0">
      <w:start w:val="4"/>
      <w:numFmt w:val="chineseCounting"/>
      <w:suff w:val="nothing"/>
      <w:lvlText w:val="（%1）"/>
      <w:lvlJc w:val="left"/>
      <w:rPr>
        <w:rFonts w:hint="eastAsia"/>
      </w:rPr>
    </w:lvl>
  </w:abstractNum>
  <w:abstractNum w:abstractNumId="2">
    <w:nsid w:val="295152BF"/>
    <w:multiLevelType w:val="singleLevel"/>
    <w:tmpl w:val="295152BF"/>
    <w:lvl w:ilvl="0" w:tentative="0">
      <w:start w:val="2"/>
      <w:numFmt w:val="chineseCounting"/>
      <w:suff w:val="nothing"/>
      <w:lvlText w:val="%1、"/>
      <w:lvlJc w:val="left"/>
      <w:rPr>
        <w:rFonts w:hint="eastAsia"/>
        <w:color w:val="000000" w:themeColor="text1"/>
      </w:rPr>
    </w:lvl>
  </w:abstractNum>
  <w:abstractNum w:abstractNumId="3">
    <w:nsid w:val="557283EC"/>
    <w:multiLevelType w:val="singleLevel"/>
    <w:tmpl w:val="557283EC"/>
    <w:lvl w:ilvl="0" w:tentative="0">
      <w:start w:val="5"/>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7CA9"/>
    <w:rsid w:val="00647DDB"/>
    <w:rsid w:val="006B7CA9"/>
    <w:rsid w:val="00FF2B3B"/>
    <w:rsid w:val="010A6855"/>
    <w:rsid w:val="013114D5"/>
    <w:rsid w:val="0858014B"/>
    <w:rsid w:val="08710C41"/>
    <w:rsid w:val="08923C2E"/>
    <w:rsid w:val="0A025A01"/>
    <w:rsid w:val="0A303C91"/>
    <w:rsid w:val="0AC467DD"/>
    <w:rsid w:val="0B2D117A"/>
    <w:rsid w:val="0B9A7C1D"/>
    <w:rsid w:val="0BB772AC"/>
    <w:rsid w:val="0D8D457D"/>
    <w:rsid w:val="0E053942"/>
    <w:rsid w:val="0F9D5B2C"/>
    <w:rsid w:val="11526F4B"/>
    <w:rsid w:val="12CE6494"/>
    <w:rsid w:val="15D75523"/>
    <w:rsid w:val="167B0AE6"/>
    <w:rsid w:val="174D2C03"/>
    <w:rsid w:val="17995D6A"/>
    <w:rsid w:val="18A027E4"/>
    <w:rsid w:val="19633EEA"/>
    <w:rsid w:val="1CE10123"/>
    <w:rsid w:val="1EC12F77"/>
    <w:rsid w:val="1F67520B"/>
    <w:rsid w:val="24B626BA"/>
    <w:rsid w:val="26DA0204"/>
    <w:rsid w:val="271D3AC5"/>
    <w:rsid w:val="2EC06E6D"/>
    <w:rsid w:val="2F3623B3"/>
    <w:rsid w:val="3078273D"/>
    <w:rsid w:val="30D902C9"/>
    <w:rsid w:val="33923BB3"/>
    <w:rsid w:val="33930632"/>
    <w:rsid w:val="339D3B98"/>
    <w:rsid w:val="354D1FF9"/>
    <w:rsid w:val="365F1643"/>
    <w:rsid w:val="3E9E112A"/>
    <w:rsid w:val="3EE21FAE"/>
    <w:rsid w:val="40BA4F55"/>
    <w:rsid w:val="41570380"/>
    <w:rsid w:val="42A81A26"/>
    <w:rsid w:val="44B05825"/>
    <w:rsid w:val="44C4596B"/>
    <w:rsid w:val="45A74D44"/>
    <w:rsid w:val="46651F92"/>
    <w:rsid w:val="4737103D"/>
    <w:rsid w:val="491F29B8"/>
    <w:rsid w:val="49844222"/>
    <w:rsid w:val="4A9B7CFC"/>
    <w:rsid w:val="4E255875"/>
    <w:rsid w:val="4E4841AE"/>
    <w:rsid w:val="4FF80B5D"/>
    <w:rsid w:val="51B966ED"/>
    <w:rsid w:val="52F97F66"/>
    <w:rsid w:val="534B41BE"/>
    <w:rsid w:val="55D824DD"/>
    <w:rsid w:val="562A3C48"/>
    <w:rsid w:val="5B163AAD"/>
    <w:rsid w:val="5E262F2A"/>
    <w:rsid w:val="60502D54"/>
    <w:rsid w:val="621C489F"/>
    <w:rsid w:val="63D1405B"/>
    <w:rsid w:val="64B519A2"/>
    <w:rsid w:val="66302D63"/>
    <w:rsid w:val="674B321A"/>
    <w:rsid w:val="68402E69"/>
    <w:rsid w:val="6A720D82"/>
    <w:rsid w:val="6E994FE5"/>
    <w:rsid w:val="6FD54A92"/>
    <w:rsid w:val="701F3A7F"/>
    <w:rsid w:val="73A24E0A"/>
    <w:rsid w:val="74A00BA1"/>
    <w:rsid w:val="771C3EBC"/>
    <w:rsid w:val="773D2D0A"/>
    <w:rsid w:val="78CC01C5"/>
    <w:rsid w:val="7A2C5922"/>
    <w:rsid w:val="7D923073"/>
    <w:rsid w:val="7EC2382B"/>
    <w:rsid w:val="7EC54A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ascii="微软雅黑" w:hAnsi="微软雅黑" w:eastAsia="微软雅黑" w:cs="微软雅黑"/>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rFonts w:hint="eastAsia" w:ascii="微软雅黑" w:hAnsi="微软雅黑" w:eastAsia="微软雅黑" w:cs="微软雅黑"/>
      <w:color w:val="333333"/>
      <w:u w:val="none"/>
    </w:rPr>
  </w:style>
  <w:style w:type="character" w:styleId="12">
    <w:name w:val="HTML Code"/>
    <w:basedOn w:val="5"/>
    <w:qFormat/>
    <w:uiPriority w:val="0"/>
    <w:rPr>
      <w:rFonts w:hint="default" w:ascii="Courier New" w:hAnsi="Courier New" w:eastAsia="Courier New" w:cs="Courier New"/>
      <w:sz w:val="20"/>
    </w:rPr>
  </w:style>
  <w:style w:type="character" w:styleId="13">
    <w:name w:val="HTML Cite"/>
    <w:basedOn w:val="5"/>
    <w:qFormat/>
    <w:uiPriority w:val="0"/>
  </w:style>
  <w:style w:type="character" w:styleId="14">
    <w:name w:val="HTML Keyboard"/>
    <w:basedOn w:val="5"/>
    <w:qFormat/>
    <w:uiPriority w:val="0"/>
    <w:rPr>
      <w:rFonts w:hint="default" w:ascii="Courier New" w:hAnsi="Courier New" w:eastAsia="Courier New" w:cs="Courier New"/>
      <w:sz w:val="20"/>
    </w:rPr>
  </w:style>
  <w:style w:type="character" w:styleId="15">
    <w:name w:val="HTML Sample"/>
    <w:basedOn w:val="5"/>
    <w:qFormat/>
    <w:uiPriority w:val="0"/>
    <w:rPr>
      <w:rFonts w:ascii="Courier New" w:hAnsi="Courier New" w:eastAsia="Courier New" w:cs="Courier New"/>
    </w:rPr>
  </w:style>
  <w:style w:type="character" w:customStyle="1" w:styleId="16">
    <w:name w:val="标题 1 Char"/>
    <w:basedOn w:val="5"/>
    <w:link w:val="2"/>
    <w:qFormat/>
    <w:uiPriority w:val="0"/>
    <w:rPr>
      <w:rFonts w:ascii="Calibri" w:hAnsi="Calibri"/>
      <w:b/>
      <w:bCs/>
      <w:kern w:val="44"/>
      <w:sz w:val="44"/>
      <w:szCs w:val="24"/>
      <w:lang w:eastAsia="en-US"/>
    </w:rPr>
  </w:style>
  <w:style w:type="character" w:customStyle="1" w:styleId="17">
    <w:name w:val="font11"/>
    <w:qFormat/>
    <w:uiPriority w:val="0"/>
    <w:rPr>
      <w:rFonts w:ascii="仿宋_GB2312" w:eastAsia="仿宋_GB2312" w:cs="仿宋_GB2312"/>
      <w:color w:val="000000"/>
      <w:sz w:val="18"/>
      <w:szCs w:val="18"/>
      <w:u w:val="none"/>
    </w:rPr>
  </w:style>
  <w:style w:type="character" w:customStyle="1" w:styleId="18">
    <w:name w:val="font141"/>
    <w:qFormat/>
    <w:uiPriority w:val="0"/>
    <w:rPr>
      <w:rFonts w:hint="default" w:ascii="Times New Roman" w:hAnsi="Times New Roman" w:cs="Times New Roman"/>
      <w:color w:val="000000"/>
      <w:sz w:val="18"/>
      <w:szCs w:val="18"/>
      <w:u w:val="none"/>
    </w:rPr>
  </w:style>
  <w:style w:type="character" w:customStyle="1" w:styleId="19">
    <w:name w:val="font112"/>
    <w:qFormat/>
    <w:uiPriority w:val="0"/>
    <w:rPr>
      <w:rFonts w:hint="eastAsia" w:ascii="宋体" w:hAnsi="宋体" w:eastAsia="宋体" w:cs="宋体"/>
      <w:color w:val="000000"/>
      <w:sz w:val="18"/>
      <w:szCs w:val="18"/>
      <w:u w:val="none"/>
    </w:rPr>
  </w:style>
  <w:style w:type="character" w:customStyle="1" w:styleId="20">
    <w:name w:val="u-job"/>
    <w:basedOn w:val="5"/>
    <w:qFormat/>
    <w:uiPriority w:val="0"/>
    <w:rPr>
      <w:color w:val="999999"/>
      <w:sz w:val="21"/>
      <w:szCs w:val="21"/>
    </w:rPr>
  </w:style>
  <w:style w:type="character" w:customStyle="1" w:styleId="21">
    <w:name w:val="arrup"/>
    <w:basedOn w:val="5"/>
    <w:qFormat/>
    <w:uiPriority w:val="0"/>
  </w:style>
  <w:style w:type="character" w:customStyle="1" w:styleId="22">
    <w:name w:val="tb09"/>
    <w:basedOn w:val="5"/>
    <w:qFormat/>
    <w:uiPriority w:val="0"/>
  </w:style>
  <w:style w:type="character" w:customStyle="1" w:styleId="23">
    <w:name w:val="tb03"/>
    <w:basedOn w:val="5"/>
    <w:qFormat/>
    <w:uiPriority w:val="0"/>
  </w:style>
  <w:style w:type="character" w:customStyle="1" w:styleId="24">
    <w:name w:val="tb05"/>
    <w:basedOn w:val="5"/>
    <w:qFormat/>
    <w:uiPriority w:val="0"/>
  </w:style>
  <w:style w:type="character" w:customStyle="1" w:styleId="25">
    <w:name w:val="tb14"/>
    <w:basedOn w:val="5"/>
    <w:qFormat/>
    <w:uiPriority w:val="0"/>
  </w:style>
  <w:style w:type="character" w:customStyle="1" w:styleId="26">
    <w:name w:val="tb31"/>
    <w:basedOn w:val="5"/>
    <w:qFormat/>
    <w:uiPriority w:val="0"/>
  </w:style>
  <w:style w:type="character" w:customStyle="1" w:styleId="27">
    <w:name w:val="tb28"/>
    <w:basedOn w:val="5"/>
    <w:qFormat/>
    <w:uiPriority w:val="0"/>
  </w:style>
  <w:style w:type="character" w:customStyle="1" w:styleId="28">
    <w:name w:val="tb13"/>
    <w:basedOn w:val="5"/>
    <w:qFormat/>
    <w:uiPriority w:val="0"/>
  </w:style>
  <w:style w:type="character" w:customStyle="1" w:styleId="29">
    <w:name w:val="tb36"/>
    <w:basedOn w:val="5"/>
    <w:qFormat/>
    <w:uiPriority w:val="0"/>
  </w:style>
  <w:style w:type="character" w:customStyle="1" w:styleId="30">
    <w:name w:val="tb26"/>
    <w:basedOn w:val="5"/>
    <w:qFormat/>
    <w:uiPriority w:val="0"/>
  </w:style>
  <w:style w:type="character" w:customStyle="1" w:styleId="31">
    <w:name w:val="tb23"/>
    <w:basedOn w:val="5"/>
    <w:qFormat/>
    <w:uiPriority w:val="0"/>
  </w:style>
  <w:style w:type="character" w:customStyle="1" w:styleId="32">
    <w:name w:val="tb07"/>
    <w:basedOn w:val="5"/>
    <w:qFormat/>
    <w:uiPriority w:val="0"/>
  </w:style>
  <w:style w:type="character" w:customStyle="1" w:styleId="33">
    <w:name w:val="tb32"/>
    <w:basedOn w:val="5"/>
    <w:qFormat/>
    <w:uiPriority w:val="0"/>
  </w:style>
  <w:style w:type="character" w:customStyle="1" w:styleId="34">
    <w:name w:val="tb25"/>
    <w:basedOn w:val="5"/>
    <w:qFormat/>
    <w:uiPriority w:val="0"/>
  </w:style>
  <w:style w:type="character" w:customStyle="1" w:styleId="35">
    <w:name w:val="tb12"/>
    <w:basedOn w:val="5"/>
    <w:qFormat/>
    <w:uiPriority w:val="0"/>
  </w:style>
  <w:style w:type="character" w:customStyle="1" w:styleId="36">
    <w:name w:val="tb15"/>
    <w:basedOn w:val="5"/>
    <w:qFormat/>
    <w:uiPriority w:val="0"/>
  </w:style>
  <w:style w:type="character" w:customStyle="1" w:styleId="37">
    <w:name w:val="m02"/>
    <w:basedOn w:val="5"/>
    <w:qFormat/>
    <w:uiPriority w:val="0"/>
  </w:style>
  <w:style w:type="character" w:customStyle="1" w:styleId="38">
    <w:name w:val="m021"/>
    <w:basedOn w:val="5"/>
    <w:qFormat/>
    <w:uiPriority w:val="0"/>
  </w:style>
  <w:style w:type="character" w:customStyle="1" w:styleId="39">
    <w:name w:val="m01"/>
    <w:basedOn w:val="5"/>
    <w:qFormat/>
    <w:uiPriority w:val="0"/>
  </w:style>
  <w:style w:type="character" w:customStyle="1" w:styleId="40">
    <w:name w:val="tb01"/>
    <w:basedOn w:val="5"/>
    <w:qFormat/>
    <w:uiPriority w:val="0"/>
  </w:style>
  <w:style w:type="character" w:customStyle="1" w:styleId="41">
    <w:name w:val="tb08"/>
    <w:basedOn w:val="5"/>
    <w:qFormat/>
    <w:uiPriority w:val="0"/>
  </w:style>
  <w:style w:type="character" w:customStyle="1" w:styleId="42">
    <w:name w:val="tb02"/>
    <w:basedOn w:val="5"/>
    <w:qFormat/>
    <w:uiPriority w:val="0"/>
  </w:style>
  <w:style w:type="character" w:customStyle="1" w:styleId="43">
    <w:name w:val="tb11"/>
    <w:basedOn w:val="5"/>
    <w:qFormat/>
    <w:uiPriority w:val="0"/>
  </w:style>
  <w:style w:type="character" w:customStyle="1" w:styleId="44">
    <w:name w:val="tb04"/>
    <w:basedOn w:val="5"/>
    <w:qFormat/>
    <w:uiPriority w:val="0"/>
  </w:style>
  <w:style w:type="character" w:customStyle="1" w:styleId="45">
    <w:name w:val="tb24"/>
    <w:basedOn w:val="5"/>
    <w:qFormat/>
    <w:uiPriority w:val="0"/>
  </w:style>
  <w:style w:type="character" w:customStyle="1" w:styleId="46">
    <w:name w:val="tb06"/>
    <w:basedOn w:val="5"/>
    <w:qFormat/>
    <w:uiPriority w:val="0"/>
  </w:style>
  <w:style w:type="character" w:customStyle="1" w:styleId="47">
    <w:name w:val="tb19"/>
    <w:basedOn w:val="5"/>
    <w:qFormat/>
    <w:uiPriority w:val="0"/>
  </w:style>
  <w:style w:type="character" w:customStyle="1" w:styleId="48">
    <w:name w:val="tb10"/>
    <w:basedOn w:val="5"/>
    <w:qFormat/>
    <w:uiPriority w:val="0"/>
  </w:style>
  <w:style w:type="character" w:customStyle="1" w:styleId="49">
    <w:name w:val="tb18"/>
    <w:basedOn w:val="5"/>
    <w:qFormat/>
    <w:uiPriority w:val="0"/>
  </w:style>
  <w:style w:type="character" w:customStyle="1" w:styleId="50">
    <w:name w:val="tb16"/>
    <w:basedOn w:val="5"/>
    <w:qFormat/>
    <w:uiPriority w:val="0"/>
  </w:style>
  <w:style w:type="character" w:customStyle="1" w:styleId="51">
    <w:name w:val="tb30"/>
    <w:basedOn w:val="5"/>
    <w:qFormat/>
    <w:uiPriority w:val="0"/>
  </w:style>
  <w:style w:type="character" w:customStyle="1" w:styleId="52">
    <w:name w:val="tb17"/>
    <w:basedOn w:val="5"/>
    <w:qFormat/>
    <w:uiPriority w:val="0"/>
  </w:style>
  <w:style w:type="character" w:customStyle="1" w:styleId="53">
    <w:name w:val="tb20"/>
    <w:basedOn w:val="5"/>
    <w:qFormat/>
    <w:uiPriority w:val="0"/>
  </w:style>
  <w:style w:type="character" w:customStyle="1" w:styleId="54">
    <w:name w:val="tb21"/>
    <w:basedOn w:val="5"/>
    <w:qFormat/>
    <w:uiPriority w:val="0"/>
  </w:style>
  <w:style w:type="character" w:customStyle="1" w:styleId="55">
    <w:name w:val="tb22"/>
    <w:basedOn w:val="5"/>
    <w:qFormat/>
    <w:uiPriority w:val="0"/>
  </w:style>
  <w:style w:type="character" w:customStyle="1" w:styleId="56">
    <w:name w:val="tb27"/>
    <w:basedOn w:val="5"/>
    <w:qFormat/>
    <w:uiPriority w:val="0"/>
  </w:style>
  <w:style w:type="character" w:customStyle="1" w:styleId="57">
    <w:name w:val="tb29"/>
    <w:basedOn w:val="5"/>
    <w:qFormat/>
    <w:uiPriority w:val="0"/>
  </w:style>
  <w:style w:type="character" w:customStyle="1" w:styleId="58">
    <w:name w:val="tb33"/>
    <w:basedOn w:val="5"/>
    <w:qFormat/>
    <w:uiPriority w:val="0"/>
  </w:style>
  <w:style w:type="character" w:customStyle="1" w:styleId="59">
    <w:name w:val="tb34"/>
    <w:basedOn w:val="5"/>
    <w:qFormat/>
    <w:uiPriority w:val="0"/>
  </w:style>
  <w:style w:type="character" w:customStyle="1" w:styleId="60">
    <w:name w:val="tb35"/>
    <w:basedOn w:val="5"/>
    <w:qFormat/>
    <w:uiPriority w:val="0"/>
  </w:style>
  <w:style w:type="character" w:customStyle="1" w:styleId="61">
    <w:name w:val="on"/>
    <w:basedOn w:val="5"/>
    <w:qFormat/>
    <w:uiPriority w:val="0"/>
  </w:style>
  <w:style w:type="character" w:customStyle="1" w:styleId="62">
    <w:name w:val="bds_more"/>
    <w:basedOn w:val="5"/>
    <w:qFormat/>
    <w:uiPriority w:val="0"/>
  </w:style>
  <w:style w:type="character" w:customStyle="1" w:styleId="63">
    <w:name w:val="bds_more1"/>
    <w:basedOn w:val="5"/>
    <w:qFormat/>
    <w:uiPriority w:val="0"/>
  </w:style>
  <w:style w:type="character" w:customStyle="1" w:styleId="64">
    <w:name w:val="m04"/>
    <w:basedOn w:val="5"/>
    <w:qFormat/>
    <w:uiPriority w:val="0"/>
  </w:style>
  <w:style w:type="character" w:customStyle="1" w:styleId="65">
    <w:name w:val="m041"/>
    <w:basedOn w:val="5"/>
    <w:qFormat/>
    <w:uiPriority w:val="0"/>
  </w:style>
  <w:style w:type="character" w:customStyle="1" w:styleId="66">
    <w:name w:val="bds_nopic"/>
    <w:basedOn w:val="5"/>
    <w:qFormat/>
    <w:uiPriority w:val="0"/>
  </w:style>
  <w:style w:type="character" w:customStyle="1" w:styleId="67">
    <w:name w:val="bds_nopic1"/>
    <w:basedOn w:val="5"/>
    <w:qFormat/>
    <w:uiPriority w:val="0"/>
  </w:style>
  <w:style w:type="character" w:customStyle="1" w:styleId="68">
    <w:name w:val="bds_nopic2"/>
    <w:basedOn w:val="5"/>
    <w:qFormat/>
    <w:uiPriority w:val="0"/>
  </w:style>
  <w:style w:type="character" w:customStyle="1" w:styleId="69">
    <w:name w:val="m03"/>
    <w:basedOn w:val="5"/>
    <w:qFormat/>
    <w:uiPriority w:val="0"/>
  </w:style>
  <w:style w:type="character" w:customStyle="1" w:styleId="70">
    <w:name w:val="m031"/>
    <w:basedOn w:val="5"/>
    <w:qFormat/>
    <w:uiPriority w:val="0"/>
  </w:style>
  <w:style w:type="character" w:customStyle="1" w:styleId="71">
    <w:name w:val="m05"/>
    <w:basedOn w:val="5"/>
    <w:qFormat/>
    <w:uiPriority w:val="0"/>
  </w:style>
  <w:style w:type="character" w:customStyle="1" w:styleId="72">
    <w:name w:val="m051"/>
    <w:basedOn w:val="5"/>
    <w:qFormat/>
    <w:uiPriority w:val="0"/>
  </w:style>
  <w:style w:type="character" w:customStyle="1" w:styleId="73">
    <w:name w:val="m06"/>
    <w:basedOn w:val="5"/>
    <w:qFormat/>
    <w:uiPriority w:val="0"/>
  </w:style>
  <w:style w:type="character" w:customStyle="1" w:styleId="74">
    <w:name w:val="m061"/>
    <w:basedOn w:val="5"/>
    <w:qFormat/>
    <w:uiPriority w:val="0"/>
  </w:style>
  <w:style w:type="character" w:customStyle="1" w:styleId="75">
    <w:name w:val="page_prev"/>
    <w:basedOn w:val="5"/>
    <w:qFormat/>
    <w:uiPriority w:val="0"/>
  </w:style>
  <w:style w:type="character" w:customStyle="1" w:styleId="76">
    <w:name w:val="page_next"/>
    <w:basedOn w:val="5"/>
    <w:qFormat/>
    <w:uiPriority w:val="0"/>
  </w:style>
  <w:style w:type="character" w:customStyle="1" w:styleId="77">
    <w:name w:val="hover38"/>
    <w:basedOn w:val="5"/>
    <w:qFormat/>
    <w:uiPriority w:val="0"/>
    <w:rPr>
      <w:color w:val="FFFFFF"/>
    </w:rPr>
  </w:style>
  <w:style w:type="character" w:customStyle="1" w:styleId="78">
    <w:name w:val="active2"/>
    <w:basedOn w:val="5"/>
    <w:qFormat/>
    <w:uiPriority w:val="0"/>
    <w:rPr>
      <w:color w:val="FFFFFF"/>
    </w:rPr>
  </w:style>
  <w:style w:type="character" w:customStyle="1" w:styleId="79">
    <w:name w:val="bds_more2"/>
    <w:basedOn w:val="5"/>
    <w:qFormat/>
    <w:uiPriority w:val="0"/>
  </w:style>
  <w:style w:type="character" w:customStyle="1" w:styleId="80">
    <w:name w:val="active27"/>
    <w:basedOn w:val="5"/>
    <w:qFormat/>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0</TotalTime>
  <ScaleCrop>false</ScaleCrop>
  <LinksUpToDate>false</LinksUpToDate>
  <CharactersWithSpaces>4776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Administrator</cp:lastModifiedBy>
  <dcterms:modified xsi:type="dcterms:W3CDTF">2020-11-27T02:58:43Z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